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F550" w14:textId="1535B7DC" w:rsidR="004259BD" w:rsidRPr="004E08B8" w:rsidRDefault="004E08B8" w:rsidP="004259BD">
      <w:pPr>
        <w:spacing w:after="0" w:line="240" w:lineRule="auto"/>
        <w:rPr>
          <w:rFonts w:ascii="Arial" w:eastAsia="Times New Roman" w:hAnsi="Arial" w:cs="Arial"/>
          <w:b/>
          <w:bCs/>
          <w:color w:val="0B0C0C"/>
          <w:sz w:val="28"/>
          <w:szCs w:val="28"/>
          <w:shd w:val="clear" w:color="auto" w:fill="FFFFFF"/>
        </w:rPr>
      </w:pPr>
      <w:r>
        <w:rPr>
          <w:rFonts w:ascii="Arial" w:eastAsia="Times New Roman" w:hAnsi="Arial" w:cs="Arial"/>
          <w:b/>
          <w:bCs/>
          <w:color w:val="0B0C0C"/>
          <w:sz w:val="28"/>
          <w:szCs w:val="28"/>
          <w:shd w:val="clear" w:color="auto" w:fill="FFFFFF"/>
        </w:rPr>
        <w:t>Homes for Ukraine – Education Grant</w:t>
      </w:r>
    </w:p>
    <w:p w14:paraId="0D2DE7E7" w14:textId="77777777" w:rsidR="004E08B8" w:rsidRDefault="004E08B8" w:rsidP="004259BD">
      <w:pPr>
        <w:spacing w:after="0" w:line="240" w:lineRule="auto"/>
        <w:rPr>
          <w:rFonts w:ascii="Arial" w:eastAsia="Times New Roman" w:hAnsi="Arial" w:cs="Arial"/>
          <w:color w:val="0B0C0C"/>
          <w:sz w:val="24"/>
          <w:szCs w:val="24"/>
          <w:shd w:val="clear" w:color="auto" w:fill="FFFFFF"/>
        </w:rPr>
      </w:pPr>
    </w:p>
    <w:p w14:paraId="16F8FF97" w14:textId="77777777" w:rsidR="004E08B8" w:rsidRDefault="004E08B8" w:rsidP="004259BD">
      <w:pPr>
        <w:spacing w:after="0" w:line="240" w:lineRule="auto"/>
        <w:rPr>
          <w:rFonts w:ascii="Arial" w:eastAsia="Times New Roman" w:hAnsi="Arial" w:cs="Arial"/>
          <w:color w:val="0B0C0C"/>
          <w:sz w:val="24"/>
          <w:szCs w:val="24"/>
          <w:shd w:val="clear" w:color="auto" w:fill="FFFFFF"/>
        </w:rPr>
      </w:pPr>
    </w:p>
    <w:p w14:paraId="70C357CB" w14:textId="35263CD8" w:rsidR="00EF7B8F" w:rsidRDefault="00135E74" w:rsidP="004259BD">
      <w:pPr>
        <w:spacing w:after="0" w:line="240" w:lineRule="auto"/>
        <w:rPr>
          <w:rFonts w:ascii="Arial" w:eastAsia="Times New Roman" w:hAnsi="Arial" w:cs="Arial"/>
          <w:color w:val="0B0C0C"/>
          <w:sz w:val="24"/>
          <w:szCs w:val="24"/>
          <w:shd w:val="clear" w:color="auto" w:fill="FFFFFF"/>
        </w:rPr>
      </w:pPr>
      <w:r w:rsidRPr="004259BD">
        <w:rPr>
          <w:rFonts w:ascii="Arial" w:eastAsia="Times New Roman" w:hAnsi="Arial" w:cs="Arial"/>
          <w:color w:val="0B0C0C"/>
          <w:sz w:val="24"/>
          <w:szCs w:val="24"/>
          <w:shd w:val="clear" w:color="auto" w:fill="FFFFFF"/>
        </w:rPr>
        <w:t>You will be aware that t</w:t>
      </w:r>
      <w:r w:rsidR="00EF7B8F" w:rsidRPr="00EF7B8F">
        <w:rPr>
          <w:rFonts w:ascii="Arial" w:eastAsia="Times New Roman" w:hAnsi="Arial" w:cs="Arial"/>
          <w:color w:val="0B0C0C"/>
          <w:sz w:val="24"/>
          <w:szCs w:val="24"/>
          <w:shd w:val="clear" w:color="auto" w:fill="FFFFFF"/>
        </w:rPr>
        <w:t>he government is providing additional funding to councils to provide education services for children from families if they have arrived through the Homes for Ukraine scheme.</w:t>
      </w:r>
    </w:p>
    <w:p w14:paraId="22791FCD" w14:textId="77777777" w:rsidR="004259BD" w:rsidRPr="004259BD" w:rsidRDefault="004259BD" w:rsidP="004259BD">
      <w:pPr>
        <w:spacing w:after="0" w:line="240" w:lineRule="auto"/>
        <w:rPr>
          <w:rFonts w:ascii="Arial" w:eastAsia="Times New Roman" w:hAnsi="Arial" w:cs="Arial"/>
          <w:color w:val="0B0C0C"/>
          <w:sz w:val="24"/>
          <w:szCs w:val="24"/>
          <w:shd w:val="clear" w:color="auto" w:fill="FFFFFF"/>
        </w:rPr>
      </w:pPr>
    </w:p>
    <w:p w14:paraId="591FCAAE" w14:textId="1BC5C62E" w:rsidR="00C20DB9" w:rsidRDefault="00C20DB9" w:rsidP="004259BD">
      <w:pPr>
        <w:spacing w:after="0" w:line="240" w:lineRule="auto"/>
        <w:rPr>
          <w:rFonts w:ascii="Arial" w:eastAsia="Times New Roman" w:hAnsi="Arial" w:cs="Arial"/>
          <w:color w:val="0B0C0C"/>
          <w:sz w:val="24"/>
          <w:szCs w:val="24"/>
          <w:lang w:eastAsia="en-GB"/>
        </w:rPr>
      </w:pPr>
      <w:r w:rsidRPr="004259BD">
        <w:rPr>
          <w:rFonts w:ascii="Arial" w:eastAsia="Times New Roman" w:hAnsi="Arial" w:cs="Arial"/>
          <w:color w:val="0B0C0C"/>
          <w:sz w:val="24"/>
          <w:szCs w:val="24"/>
          <w:lang w:eastAsia="en-GB"/>
        </w:rPr>
        <w:t>The Department for Education (DfE) will allocate funding, pro-rata</w:t>
      </w:r>
      <w:r w:rsidR="00135E74" w:rsidRPr="004259BD">
        <w:rPr>
          <w:rFonts w:ascii="Arial" w:eastAsia="Times New Roman" w:hAnsi="Arial" w:cs="Arial"/>
          <w:color w:val="0B0C0C"/>
          <w:sz w:val="24"/>
          <w:szCs w:val="24"/>
          <w:lang w:eastAsia="en-GB"/>
        </w:rPr>
        <w:t xml:space="preserve"> to arrival date,</w:t>
      </w:r>
      <w:r w:rsidRPr="004259BD">
        <w:rPr>
          <w:rFonts w:ascii="Arial" w:eastAsia="Times New Roman" w:hAnsi="Arial" w:cs="Arial"/>
          <w:color w:val="0B0C0C"/>
          <w:sz w:val="24"/>
          <w:szCs w:val="24"/>
          <w:lang w:eastAsia="en-GB"/>
        </w:rPr>
        <w:t xml:space="preserve"> on a per pupil basis for the 3 phases of education based on the following rates:</w:t>
      </w:r>
    </w:p>
    <w:p w14:paraId="0D5089DD" w14:textId="77777777" w:rsidR="004259BD" w:rsidRPr="004259BD" w:rsidRDefault="004259BD" w:rsidP="004259BD">
      <w:pPr>
        <w:spacing w:after="0" w:line="240" w:lineRule="auto"/>
        <w:rPr>
          <w:rFonts w:ascii="Arial" w:eastAsia="Times New Roman" w:hAnsi="Arial" w:cs="Arial"/>
          <w:color w:val="0B0C0C"/>
          <w:sz w:val="24"/>
          <w:szCs w:val="24"/>
          <w:lang w:eastAsia="en-GB"/>
        </w:rPr>
      </w:pPr>
    </w:p>
    <w:tbl>
      <w:tblPr>
        <w:tblStyle w:val="TableGrid"/>
        <w:tblW w:w="5000" w:type="pct"/>
        <w:tblLook w:val="04A0" w:firstRow="1" w:lastRow="0" w:firstColumn="1" w:lastColumn="0" w:noHBand="0" w:noVBand="1"/>
      </w:tblPr>
      <w:tblGrid>
        <w:gridCol w:w="1802"/>
        <w:gridCol w:w="1453"/>
        <w:gridCol w:w="1843"/>
        <w:gridCol w:w="2115"/>
        <w:gridCol w:w="1803"/>
      </w:tblGrid>
      <w:tr w:rsidR="00135E74" w:rsidRPr="004259BD" w14:paraId="4FBD8C04" w14:textId="77777777" w:rsidTr="00135E74">
        <w:tc>
          <w:tcPr>
            <w:tcW w:w="999" w:type="pct"/>
          </w:tcPr>
          <w:p w14:paraId="28483CE9" w14:textId="02A52B13" w:rsidR="00135E74" w:rsidRPr="004259BD" w:rsidRDefault="00135E74" w:rsidP="004259BD">
            <w:pPr>
              <w:rPr>
                <w:rFonts w:ascii="Arial" w:eastAsia="Times New Roman" w:hAnsi="Arial" w:cs="Arial"/>
                <w:color w:val="0B0C0C"/>
                <w:sz w:val="24"/>
                <w:szCs w:val="24"/>
                <w:lang w:eastAsia="en-GB"/>
              </w:rPr>
            </w:pPr>
            <w:bookmarkStart w:id="0" w:name="_Hlk116394274"/>
            <w:r w:rsidRPr="00C20DB9">
              <w:rPr>
                <w:rFonts w:ascii="Arial" w:eastAsia="Times New Roman" w:hAnsi="Arial" w:cs="Arial"/>
                <w:b/>
                <w:bCs/>
                <w:color w:val="0B0C0C"/>
                <w:sz w:val="24"/>
                <w:szCs w:val="24"/>
                <w:lang w:eastAsia="en-GB"/>
              </w:rPr>
              <w:t>Phase (Age)</w:t>
            </w:r>
          </w:p>
        </w:tc>
        <w:tc>
          <w:tcPr>
            <w:tcW w:w="806" w:type="pct"/>
          </w:tcPr>
          <w:p w14:paraId="47C362B0" w14:textId="61F7B8A8"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b/>
                <w:bCs/>
                <w:color w:val="0B0C0C"/>
                <w:sz w:val="24"/>
                <w:szCs w:val="24"/>
                <w:lang w:eastAsia="en-GB"/>
              </w:rPr>
              <w:t>March to May 2022</w:t>
            </w:r>
            <w:r w:rsidR="00C5782D">
              <w:rPr>
                <w:rFonts w:ascii="Arial" w:eastAsia="Times New Roman" w:hAnsi="Arial" w:cs="Arial"/>
                <w:b/>
                <w:bCs/>
                <w:color w:val="0B0C0C"/>
                <w:sz w:val="24"/>
                <w:szCs w:val="24"/>
                <w:lang w:eastAsia="en-GB"/>
              </w:rPr>
              <w:t xml:space="preserve"> Arrivals</w:t>
            </w:r>
          </w:p>
        </w:tc>
        <w:tc>
          <w:tcPr>
            <w:tcW w:w="1022" w:type="pct"/>
          </w:tcPr>
          <w:p w14:paraId="2DADE78F" w14:textId="6738BC68"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b/>
                <w:bCs/>
                <w:color w:val="0B0C0C"/>
                <w:sz w:val="24"/>
                <w:szCs w:val="24"/>
                <w:lang w:eastAsia="en-GB"/>
              </w:rPr>
              <w:t>June to August 2022</w:t>
            </w:r>
            <w:r w:rsidR="00C5782D">
              <w:rPr>
                <w:rFonts w:ascii="Arial" w:eastAsia="Times New Roman" w:hAnsi="Arial" w:cs="Arial"/>
                <w:b/>
                <w:bCs/>
                <w:color w:val="0B0C0C"/>
                <w:sz w:val="24"/>
                <w:szCs w:val="24"/>
                <w:lang w:eastAsia="en-GB"/>
              </w:rPr>
              <w:t xml:space="preserve"> Arrivals</w:t>
            </w:r>
          </w:p>
        </w:tc>
        <w:tc>
          <w:tcPr>
            <w:tcW w:w="1173" w:type="pct"/>
          </w:tcPr>
          <w:p w14:paraId="039928D4" w14:textId="508007BD"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b/>
                <w:bCs/>
                <w:color w:val="0B0C0C"/>
                <w:sz w:val="24"/>
                <w:szCs w:val="24"/>
                <w:lang w:eastAsia="en-GB"/>
              </w:rPr>
              <w:t>September to November 2022</w:t>
            </w:r>
            <w:r w:rsidR="00C5782D">
              <w:rPr>
                <w:rFonts w:ascii="Arial" w:eastAsia="Times New Roman" w:hAnsi="Arial" w:cs="Arial"/>
                <w:b/>
                <w:bCs/>
                <w:color w:val="0B0C0C"/>
                <w:sz w:val="24"/>
                <w:szCs w:val="24"/>
                <w:lang w:eastAsia="en-GB"/>
              </w:rPr>
              <w:t xml:space="preserve"> Arrivals</w:t>
            </w:r>
          </w:p>
        </w:tc>
        <w:tc>
          <w:tcPr>
            <w:tcW w:w="1000" w:type="pct"/>
          </w:tcPr>
          <w:p w14:paraId="25BFF242" w14:textId="6355845B"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b/>
                <w:bCs/>
                <w:color w:val="0B0C0C"/>
                <w:sz w:val="24"/>
                <w:szCs w:val="24"/>
                <w:lang w:eastAsia="en-GB"/>
              </w:rPr>
              <w:t>December to February 2023</w:t>
            </w:r>
            <w:r w:rsidR="00C5782D">
              <w:rPr>
                <w:rFonts w:ascii="Arial" w:eastAsia="Times New Roman" w:hAnsi="Arial" w:cs="Arial"/>
                <w:b/>
                <w:bCs/>
                <w:color w:val="0B0C0C"/>
                <w:sz w:val="24"/>
                <w:szCs w:val="24"/>
                <w:lang w:eastAsia="en-GB"/>
              </w:rPr>
              <w:t xml:space="preserve"> Arrivals</w:t>
            </w:r>
          </w:p>
        </w:tc>
      </w:tr>
      <w:tr w:rsidR="00135E74" w:rsidRPr="004259BD" w14:paraId="085D2649" w14:textId="77777777" w:rsidTr="00135E74">
        <w:tc>
          <w:tcPr>
            <w:tcW w:w="999" w:type="pct"/>
          </w:tcPr>
          <w:p w14:paraId="35B15E94" w14:textId="7C49F79B"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Early years (2 to 4)</w:t>
            </w:r>
          </w:p>
        </w:tc>
        <w:tc>
          <w:tcPr>
            <w:tcW w:w="806" w:type="pct"/>
          </w:tcPr>
          <w:p w14:paraId="65A78F74" w14:textId="50E69D39"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£3,000</w:t>
            </w:r>
          </w:p>
        </w:tc>
        <w:tc>
          <w:tcPr>
            <w:tcW w:w="1022" w:type="pct"/>
          </w:tcPr>
          <w:p w14:paraId="68374981" w14:textId="76CA71C1"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£2,250</w:t>
            </w:r>
          </w:p>
        </w:tc>
        <w:tc>
          <w:tcPr>
            <w:tcW w:w="1173" w:type="pct"/>
          </w:tcPr>
          <w:p w14:paraId="2C0BB713" w14:textId="35228AE2"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£1,500</w:t>
            </w:r>
          </w:p>
        </w:tc>
        <w:tc>
          <w:tcPr>
            <w:tcW w:w="1000" w:type="pct"/>
          </w:tcPr>
          <w:p w14:paraId="587B2C3E" w14:textId="1560BB6D"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£750</w:t>
            </w:r>
          </w:p>
        </w:tc>
      </w:tr>
      <w:tr w:rsidR="00135E74" w:rsidRPr="004259BD" w14:paraId="03E6E4F7" w14:textId="77777777" w:rsidTr="00135E74">
        <w:tc>
          <w:tcPr>
            <w:tcW w:w="999" w:type="pct"/>
          </w:tcPr>
          <w:p w14:paraId="7892773D" w14:textId="5FD89A81"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Primary (5 to 11)</w:t>
            </w:r>
          </w:p>
        </w:tc>
        <w:tc>
          <w:tcPr>
            <w:tcW w:w="806" w:type="pct"/>
          </w:tcPr>
          <w:p w14:paraId="4E7B456F" w14:textId="1F2A97FD"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£6,580</w:t>
            </w:r>
          </w:p>
        </w:tc>
        <w:tc>
          <w:tcPr>
            <w:tcW w:w="1022" w:type="pct"/>
          </w:tcPr>
          <w:p w14:paraId="6A239BC6" w14:textId="15DA6367"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£4,935</w:t>
            </w:r>
          </w:p>
        </w:tc>
        <w:tc>
          <w:tcPr>
            <w:tcW w:w="1173" w:type="pct"/>
          </w:tcPr>
          <w:p w14:paraId="731BDCB5" w14:textId="5439DF7A"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£3,290</w:t>
            </w:r>
          </w:p>
        </w:tc>
        <w:tc>
          <w:tcPr>
            <w:tcW w:w="1000" w:type="pct"/>
          </w:tcPr>
          <w:p w14:paraId="0EEF0D88" w14:textId="4A1098F8"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£1,645</w:t>
            </w:r>
          </w:p>
        </w:tc>
      </w:tr>
      <w:tr w:rsidR="00135E74" w:rsidRPr="004259BD" w14:paraId="458A4527" w14:textId="77777777" w:rsidTr="00135E74">
        <w:tc>
          <w:tcPr>
            <w:tcW w:w="999" w:type="pct"/>
          </w:tcPr>
          <w:p w14:paraId="4BEA80F1" w14:textId="6356A51B"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Secondary (11 to 18)</w:t>
            </w:r>
          </w:p>
        </w:tc>
        <w:tc>
          <w:tcPr>
            <w:tcW w:w="806" w:type="pct"/>
          </w:tcPr>
          <w:p w14:paraId="7B9E4F77" w14:textId="412F9600"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£8,755</w:t>
            </w:r>
          </w:p>
        </w:tc>
        <w:tc>
          <w:tcPr>
            <w:tcW w:w="1022" w:type="pct"/>
          </w:tcPr>
          <w:p w14:paraId="035B6FDC" w14:textId="74408355"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£6,566</w:t>
            </w:r>
          </w:p>
        </w:tc>
        <w:tc>
          <w:tcPr>
            <w:tcW w:w="1173" w:type="pct"/>
          </w:tcPr>
          <w:p w14:paraId="65DF067D" w14:textId="2C8887EB" w:rsidR="00135E74" w:rsidRPr="004259BD" w:rsidRDefault="00135E74"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£4,378</w:t>
            </w:r>
          </w:p>
        </w:tc>
        <w:tc>
          <w:tcPr>
            <w:tcW w:w="1000" w:type="pct"/>
          </w:tcPr>
          <w:p w14:paraId="3808D2C3" w14:textId="54C78F2B" w:rsidR="00135E74" w:rsidRPr="004259BD" w:rsidRDefault="00393316" w:rsidP="004259BD">
            <w:pPr>
              <w:rPr>
                <w:rFonts w:ascii="Arial" w:eastAsia="Times New Roman" w:hAnsi="Arial" w:cs="Arial"/>
                <w:color w:val="0B0C0C"/>
                <w:sz w:val="24"/>
                <w:szCs w:val="24"/>
                <w:lang w:eastAsia="en-GB"/>
              </w:rPr>
            </w:pPr>
            <w:r w:rsidRPr="00C20DB9">
              <w:rPr>
                <w:rFonts w:ascii="Arial" w:eastAsia="Times New Roman" w:hAnsi="Arial" w:cs="Arial"/>
                <w:color w:val="0B0C0C"/>
                <w:sz w:val="24"/>
                <w:szCs w:val="24"/>
                <w:lang w:eastAsia="en-GB"/>
              </w:rPr>
              <w:t>£2,189</w:t>
            </w:r>
          </w:p>
        </w:tc>
      </w:tr>
      <w:bookmarkEnd w:id="0"/>
    </w:tbl>
    <w:p w14:paraId="10E480D5" w14:textId="2B531E36" w:rsidR="00135E74" w:rsidRPr="004259BD" w:rsidRDefault="00135E74" w:rsidP="004259BD">
      <w:pPr>
        <w:spacing w:after="0" w:line="240" w:lineRule="auto"/>
        <w:rPr>
          <w:rFonts w:ascii="Arial" w:eastAsia="Times New Roman" w:hAnsi="Arial" w:cs="Arial"/>
          <w:color w:val="0B0C0C"/>
          <w:sz w:val="24"/>
          <w:szCs w:val="24"/>
          <w:lang w:eastAsia="en-GB"/>
        </w:rPr>
      </w:pPr>
    </w:p>
    <w:p w14:paraId="0664FED6" w14:textId="553F4FD5" w:rsidR="00E9034F" w:rsidRDefault="00AF611C" w:rsidP="004259BD">
      <w:pPr>
        <w:spacing w:after="0" w:line="240" w:lineRule="auto"/>
        <w:rPr>
          <w:rFonts w:ascii="Arial" w:eastAsia="Times New Roman" w:hAnsi="Arial" w:cs="Arial"/>
          <w:color w:val="0B0C0C"/>
          <w:sz w:val="24"/>
          <w:szCs w:val="24"/>
          <w:lang w:eastAsia="en-GB"/>
        </w:rPr>
      </w:pPr>
      <w:r w:rsidRPr="004259BD">
        <w:rPr>
          <w:rFonts w:ascii="Arial" w:eastAsia="Times New Roman" w:hAnsi="Arial" w:cs="Arial"/>
          <w:b/>
          <w:bCs/>
          <w:color w:val="0B0C0C"/>
          <w:sz w:val="24"/>
          <w:szCs w:val="24"/>
          <w:lang w:eastAsia="en-GB"/>
        </w:rPr>
        <w:t>Note</w:t>
      </w:r>
      <w:r w:rsidRPr="004259BD">
        <w:rPr>
          <w:rFonts w:ascii="Arial" w:eastAsia="Times New Roman" w:hAnsi="Arial" w:cs="Arial"/>
          <w:color w:val="0B0C0C"/>
          <w:sz w:val="24"/>
          <w:szCs w:val="24"/>
          <w:lang w:eastAsia="en-GB"/>
        </w:rPr>
        <w:t xml:space="preserve">: </w:t>
      </w:r>
      <w:r w:rsidR="00393316" w:rsidRPr="004259BD">
        <w:rPr>
          <w:rFonts w:ascii="Arial" w:eastAsia="Times New Roman" w:hAnsi="Arial" w:cs="Arial"/>
          <w:color w:val="0B0C0C"/>
          <w:sz w:val="24"/>
          <w:szCs w:val="24"/>
          <w:lang w:eastAsia="en-GB"/>
        </w:rPr>
        <w:t xml:space="preserve">The payment for the arrivals in the authority in the </w:t>
      </w:r>
      <w:proofErr w:type="gramStart"/>
      <w:r w:rsidR="00393316" w:rsidRPr="004259BD">
        <w:rPr>
          <w:rFonts w:ascii="Arial" w:eastAsia="Times New Roman" w:hAnsi="Arial" w:cs="Arial"/>
          <w:color w:val="0B0C0C"/>
          <w:sz w:val="24"/>
          <w:szCs w:val="24"/>
          <w:lang w:eastAsia="en-GB"/>
        </w:rPr>
        <w:t>time period</w:t>
      </w:r>
      <w:proofErr w:type="gramEnd"/>
      <w:r w:rsidR="00393316" w:rsidRPr="004259BD">
        <w:rPr>
          <w:rFonts w:ascii="Arial" w:eastAsia="Times New Roman" w:hAnsi="Arial" w:cs="Arial"/>
          <w:color w:val="0B0C0C"/>
          <w:sz w:val="24"/>
          <w:szCs w:val="24"/>
          <w:lang w:eastAsia="en-GB"/>
        </w:rPr>
        <w:t xml:space="preserve"> 1 March 2022 to 31 May 2022 is for a 12 month period. All other payments after the first quarter will provide the total amount of pro-rata funding per child for the 2022 to 2023 financial year. </w:t>
      </w:r>
    </w:p>
    <w:p w14:paraId="66699D34" w14:textId="77777777" w:rsidR="004259BD" w:rsidRPr="004259BD" w:rsidRDefault="004259BD" w:rsidP="004259BD">
      <w:pPr>
        <w:spacing w:after="0" w:line="240" w:lineRule="auto"/>
        <w:rPr>
          <w:rFonts w:ascii="Arial" w:eastAsia="Times New Roman" w:hAnsi="Arial" w:cs="Arial"/>
          <w:color w:val="0B0C0C"/>
          <w:sz w:val="24"/>
          <w:szCs w:val="24"/>
          <w:lang w:eastAsia="en-GB"/>
        </w:rPr>
      </w:pPr>
    </w:p>
    <w:p w14:paraId="2EBAC28D" w14:textId="13A63DDC" w:rsidR="00393316" w:rsidRDefault="00393316" w:rsidP="004259BD">
      <w:pPr>
        <w:spacing w:after="0" w:line="240" w:lineRule="auto"/>
        <w:rPr>
          <w:rFonts w:ascii="Arial" w:eastAsia="Times New Roman" w:hAnsi="Arial" w:cs="Arial"/>
          <w:color w:val="0B0C0C"/>
          <w:sz w:val="24"/>
          <w:szCs w:val="24"/>
          <w:lang w:eastAsia="en-GB"/>
        </w:rPr>
      </w:pPr>
      <w:r w:rsidRPr="004259BD">
        <w:rPr>
          <w:rFonts w:ascii="Arial" w:eastAsia="Times New Roman" w:hAnsi="Arial" w:cs="Arial"/>
          <w:color w:val="0B0C0C"/>
          <w:sz w:val="24"/>
          <w:szCs w:val="24"/>
          <w:lang w:eastAsia="en-GB"/>
        </w:rPr>
        <w:t xml:space="preserve">Payment amounts are based on the age of the child on the date he or she arrives in the authority. </w:t>
      </w:r>
    </w:p>
    <w:p w14:paraId="6B9FEA80" w14:textId="77777777" w:rsidR="004259BD" w:rsidRPr="004259BD" w:rsidRDefault="004259BD" w:rsidP="004259BD">
      <w:pPr>
        <w:spacing w:after="0" w:line="240" w:lineRule="auto"/>
        <w:rPr>
          <w:rFonts w:ascii="Arial" w:eastAsia="Times New Roman" w:hAnsi="Arial" w:cs="Arial"/>
          <w:color w:val="0B0C0C"/>
          <w:sz w:val="24"/>
          <w:szCs w:val="24"/>
          <w:lang w:eastAsia="en-GB"/>
        </w:rPr>
      </w:pPr>
    </w:p>
    <w:p w14:paraId="14DA9ABE" w14:textId="70F41893" w:rsidR="0071118F" w:rsidRDefault="00E9034F" w:rsidP="004259BD">
      <w:pPr>
        <w:spacing w:after="0" w:line="240" w:lineRule="auto"/>
        <w:rPr>
          <w:rFonts w:ascii="Arial" w:eastAsia="Times New Roman" w:hAnsi="Arial" w:cs="Arial"/>
          <w:color w:val="0B0C0C"/>
          <w:sz w:val="24"/>
          <w:szCs w:val="24"/>
          <w:lang w:eastAsia="en-GB"/>
        </w:rPr>
      </w:pPr>
      <w:r w:rsidRPr="004259BD">
        <w:rPr>
          <w:rFonts w:ascii="Arial" w:eastAsia="Times New Roman" w:hAnsi="Arial" w:cs="Arial"/>
          <w:sz w:val="24"/>
          <w:szCs w:val="24"/>
        </w:rPr>
        <w:t xml:space="preserve">The expectation from government is that local </w:t>
      </w:r>
      <w:r w:rsidR="00AF611C" w:rsidRPr="004259BD">
        <w:rPr>
          <w:rFonts w:ascii="Arial" w:eastAsia="Times New Roman" w:hAnsi="Arial" w:cs="Arial"/>
          <w:sz w:val="24"/>
          <w:szCs w:val="24"/>
        </w:rPr>
        <w:t>authority’s</w:t>
      </w:r>
      <w:r w:rsidRPr="004259BD">
        <w:rPr>
          <w:rFonts w:ascii="Arial" w:eastAsia="Times New Roman" w:hAnsi="Arial" w:cs="Arial"/>
          <w:sz w:val="24"/>
          <w:szCs w:val="24"/>
        </w:rPr>
        <w:t xml:space="preserve"> passport an appropriate amount of the funding to the maintained school or academy trust providing the school place.</w:t>
      </w:r>
      <w:r w:rsidR="0071118F" w:rsidRPr="004259BD">
        <w:rPr>
          <w:rFonts w:ascii="Arial" w:eastAsia="Times New Roman" w:hAnsi="Arial" w:cs="Arial"/>
          <w:color w:val="0B0C0C"/>
          <w:sz w:val="24"/>
          <w:szCs w:val="24"/>
          <w:lang w:eastAsia="en-GB"/>
        </w:rPr>
        <w:t xml:space="preserve"> This is irrespective of any deficit relating to the expenditure of the school’s budget share. This funding is not part of schools’ budget shares and is not part of the individual school’s budget. It is not to be counted for the purpose of calculating the minimum funding guarantee.</w:t>
      </w:r>
    </w:p>
    <w:p w14:paraId="5F5FA4C7" w14:textId="77777777" w:rsidR="004259BD" w:rsidRPr="004259BD" w:rsidRDefault="004259BD" w:rsidP="004259BD">
      <w:pPr>
        <w:spacing w:after="0" w:line="240" w:lineRule="auto"/>
        <w:rPr>
          <w:rFonts w:ascii="Arial" w:eastAsia="Times New Roman" w:hAnsi="Arial" w:cs="Arial"/>
          <w:color w:val="0B0C0C"/>
          <w:sz w:val="24"/>
          <w:szCs w:val="24"/>
          <w:lang w:eastAsia="en-GB"/>
        </w:rPr>
      </w:pPr>
    </w:p>
    <w:p w14:paraId="5AB26669" w14:textId="39A8339D" w:rsidR="0071118F" w:rsidRDefault="00AF611C" w:rsidP="004259BD">
      <w:pPr>
        <w:spacing w:after="0" w:line="240" w:lineRule="auto"/>
        <w:rPr>
          <w:rFonts w:ascii="Arial" w:eastAsia="Times New Roman" w:hAnsi="Arial" w:cs="Arial"/>
          <w:sz w:val="24"/>
          <w:szCs w:val="24"/>
        </w:rPr>
      </w:pPr>
      <w:r w:rsidRPr="004259BD">
        <w:rPr>
          <w:rFonts w:ascii="Arial" w:eastAsia="Times New Roman" w:hAnsi="Arial" w:cs="Arial"/>
          <w:sz w:val="24"/>
          <w:szCs w:val="24"/>
        </w:rPr>
        <w:t xml:space="preserve">Following </w:t>
      </w:r>
      <w:r w:rsidR="004259BD">
        <w:rPr>
          <w:rFonts w:ascii="Arial" w:eastAsia="Times New Roman" w:hAnsi="Arial" w:cs="Arial"/>
          <w:sz w:val="24"/>
          <w:szCs w:val="24"/>
        </w:rPr>
        <w:t>consultation</w:t>
      </w:r>
      <w:r w:rsidRPr="004259BD">
        <w:rPr>
          <w:rFonts w:ascii="Arial" w:eastAsia="Times New Roman" w:hAnsi="Arial" w:cs="Arial"/>
          <w:sz w:val="24"/>
          <w:szCs w:val="24"/>
        </w:rPr>
        <w:t xml:space="preserve"> with several head teachers on the appropriate amounts and a consideration of core costs, a decision has been made to award funding to schools and academy trusts, </w:t>
      </w:r>
      <w:r w:rsidR="00EF7B8F" w:rsidRPr="00EF7B8F">
        <w:rPr>
          <w:rFonts w:ascii="Arial" w:eastAsia="Times New Roman" w:hAnsi="Arial" w:cs="Arial"/>
          <w:sz w:val="24"/>
          <w:szCs w:val="24"/>
        </w:rPr>
        <w:t xml:space="preserve">at the </w:t>
      </w:r>
      <w:r w:rsidR="003F02DF" w:rsidRPr="003F02DF">
        <w:rPr>
          <w:rFonts w:ascii="Arial" w:eastAsia="Times New Roman" w:hAnsi="Arial" w:cs="Arial"/>
          <w:sz w:val="24"/>
          <w:szCs w:val="24"/>
        </w:rPr>
        <w:t xml:space="preserve">age-weighted pupil unit </w:t>
      </w:r>
      <w:r w:rsidR="00EF7B8F" w:rsidRPr="00EF7B8F">
        <w:rPr>
          <w:rFonts w:ascii="Arial" w:eastAsia="Times New Roman" w:hAnsi="Arial" w:cs="Arial"/>
          <w:sz w:val="24"/>
          <w:szCs w:val="24"/>
        </w:rPr>
        <w:t>rates</w:t>
      </w:r>
      <w:r w:rsidR="00BB2F8A">
        <w:rPr>
          <w:rFonts w:ascii="Arial" w:eastAsia="Times New Roman" w:hAnsi="Arial" w:cs="Arial"/>
          <w:sz w:val="24"/>
          <w:szCs w:val="24"/>
        </w:rPr>
        <w:t>, pro-rated</w:t>
      </w:r>
      <w:r w:rsidR="003F02DF">
        <w:rPr>
          <w:rFonts w:ascii="Arial" w:eastAsia="Times New Roman" w:hAnsi="Arial" w:cs="Arial"/>
          <w:sz w:val="24"/>
          <w:szCs w:val="24"/>
        </w:rPr>
        <w:t xml:space="preserve"> for </w:t>
      </w:r>
      <w:r w:rsidR="00BB2F8A">
        <w:rPr>
          <w:rFonts w:ascii="Arial" w:eastAsia="Times New Roman" w:hAnsi="Arial" w:cs="Arial"/>
          <w:sz w:val="24"/>
          <w:szCs w:val="24"/>
        </w:rPr>
        <w:t xml:space="preserve">the period </w:t>
      </w:r>
      <w:r w:rsidR="003F02DF">
        <w:rPr>
          <w:rFonts w:ascii="Arial" w:eastAsia="Times New Roman" w:hAnsi="Arial" w:cs="Arial"/>
          <w:sz w:val="24"/>
          <w:szCs w:val="24"/>
        </w:rPr>
        <w:t>March 2022 to February 2023</w:t>
      </w:r>
      <w:r w:rsidR="00BB2F8A">
        <w:rPr>
          <w:rFonts w:ascii="Arial" w:eastAsia="Times New Roman" w:hAnsi="Arial" w:cs="Arial"/>
          <w:sz w:val="24"/>
          <w:szCs w:val="24"/>
        </w:rPr>
        <w:t>. The rates are detailed in Appendix 1</w:t>
      </w:r>
    </w:p>
    <w:p w14:paraId="2DA73796" w14:textId="77777777" w:rsidR="004259BD" w:rsidRPr="004259BD" w:rsidRDefault="004259BD" w:rsidP="004259BD">
      <w:pPr>
        <w:spacing w:after="0" w:line="240" w:lineRule="auto"/>
        <w:rPr>
          <w:rFonts w:ascii="Arial" w:eastAsia="Times New Roman" w:hAnsi="Arial" w:cs="Arial"/>
          <w:color w:val="0B0C0C"/>
          <w:sz w:val="24"/>
          <w:szCs w:val="24"/>
          <w:lang w:eastAsia="en-GB"/>
        </w:rPr>
      </w:pPr>
    </w:p>
    <w:p w14:paraId="135572E0" w14:textId="609358BB" w:rsidR="0071118F" w:rsidRDefault="004259BD" w:rsidP="004259BD">
      <w:pPr>
        <w:spacing w:after="0" w:line="240" w:lineRule="auto"/>
        <w:rPr>
          <w:rFonts w:ascii="Arial" w:eastAsia="Times New Roman" w:hAnsi="Arial" w:cs="Arial"/>
          <w:sz w:val="24"/>
          <w:szCs w:val="24"/>
        </w:rPr>
      </w:pPr>
      <w:r w:rsidRPr="00EF7B8F">
        <w:rPr>
          <w:rFonts w:ascii="Arial" w:eastAsia="Times New Roman" w:hAnsi="Arial" w:cs="Arial"/>
          <w:sz w:val="24"/>
          <w:szCs w:val="24"/>
        </w:rPr>
        <w:t>Providing funding at the AWPU rates will reflect usual practice and transparency in awarding funding</w:t>
      </w:r>
      <w:r>
        <w:rPr>
          <w:rFonts w:ascii="Arial" w:eastAsia="Times New Roman" w:hAnsi="Arial" w:cs="Arial"/>
          <w:sz w:val="24"/>
          <w:szCs w:val="24"/>
        </w:rPr>
        <w:t>.</w:t>
      </w:r>
      <w:r w:rsidRPr="004259BD">
        <w:rPr>
          <w:rFonts w:ascii="Arial" w:eastAsia="Times New Roman" w:hAnsi="Arial" w:cs="Arial"/>
          <w:sz w:val="24"/>
          <w:szCs w:val="24"/>
        </w:rPr>
        <w:t xml:space="preserve"> </w:t>
      </w:r>
      <w:r w:rsidRPr="00EF7B8F">
        <w:rPr>
          <w:rFonts w:ascii="Arial" w:eastAsia="Times New Roman" w:hAnsi="Arial" w:cs="Arial"/>
          <w:sz w:val="24"/>
          <w:szCs w:val="24"/>
        </w:rPr>
        <w:t xml:space="preserve">Whilst allowing schools a level of flexibility to spend their </w:t>
      </w:r>
      <w:r>
        <w:rPr>
          <w:rFonts w:ascii="Arial" w:eastAsia="Times New Roman" w:hAnsi="Arial" w:cs="Arial"/>
          <w:sz w:val="24"/>
          <w:szCs w:val="24"/>
        </w:rPr>
        <w:t>allocation, t</w:t>
      </w:r>
      <w:r w:rsidR="0071118F" w:rsidRPr="00EF7B8F">
        <w:rPr>
          <w:rFonts w:ascii="Arial" w:eastAsia="Times New Roman" w:hAnsi="Arial" w:cs="Arial"/>
          <w:sz w:val="24"/>
          <w:szCs w:val="24"/>
        </w:rPr>
        <w:t>he retention of funds above the AWPU rate will allow the authority to respond to expected and unforeseen demands</w:t>
      </w:r>
      <w:r>
        <w:rPr>
          <w:rFonts w:ascii="Arial" w:eastAsia="Times New Roman" w:hAnsi="Arial" w:cs="Arial"/>
          <w:sz w:val="24"/>
          <w:szCs w:val="24"/>
        </w:rPr>
        <w:t>:</w:t>
      </w:r>
    </w:p>
    <w:p w14:paraId="1CCF1B38" w14:textId="77777777" w:rsidR="004259BD" w:rsidRPr="004259BD" w:rsidRDefault="004259BD" w:rsidP="004259BD">
      <w:pPr>
        <w:spacing w:after="0" w:line="240" w:lineRule="auto"/>
        <w:rPr>
          <w:rFonts w:ascii="Arial" w:hAnsi="Arial" w:cs="Arial"/>
          <w:sz w:val="24"/>
          <w:szCs w:val="24"/>
        </w:rPr>
      </w:pPr>
    </w:p>
    <w:p w14:paraId="5053EA31" w14:textId="0236AD6F" w:rsidR="004259BD" w:rsidRDefault="004259BD" w:rsidP="004259BD">
      <w:pPr>
        <w:pStyle w:val="ListParagraph"/>
        <w:numPr>
          <w:ilvl w:val="0"/>
          <w:numId w:val="3"/>
        </w:numPr>
        <w:spacing w:after="0" w:line="240" w:lineRule="auto"/>
        <w:rPr>
          <w:rFonts w:ascii="Arial" w:eastAsia="Times New Roman" w:hAnsi="Arial" w:cs="Arial"/>
          <w:sz w:val="24"/>
          <w:szCs w:val="24"/>
        </w:rPr>
      </w:pPr>
      <w:r w:rsidRPr="004259BD">
        <w:rPr>
          <w:rFonts w:ascii="Arial" w:eastAsia="Times New Roman" w:hAnsi="Arial" w:cs="Arial"/>
          <w:sz w:val="24"/>
          <w:szCs w:val="24"/>
        </w:rPr>
        <w:t xml:space="preserve">The allocations received by local authorities include support for children with special educational needs and disabilities (SEND). </w:t>
      </w:r>
    </w:p>
    <w:p w14:paraId="06A82A62" w14:textId="6B1CBEA3" w:rsidR="00C576BF" w:rsidRDefault="00C576BF" w:rsidP="00C576BF">
      <w:pPr>
        <w:spacing w:after="0" w:line="240" w:lineRule="auto"/>
        <w:rPr>
          <w:rFonts w:ascii="Arial" w:eastAsia="Times New Roman" w:hAnsi="Arial" w:cs="Arial"/>
          <w:sz w:val="24"/>
          <w:szCs w:val="24"/>
        </w:rPr>
      </w:pPr>
    </w:p>
    <w:p w14:paraId="48CA6747" w14:textId="60CFCEB3" w:rsidR="00C576BF" w:rsidRPr="00C576BF" w:rsidRDefault="00C576BF" w:rsidP="00C576BF">
      <w:pPr>
        <w:pStyle w:val="ListParagraph"/>
        <w:numPr>
          <w:ilvl w:val="0"/>
          <w:numId w:val="3"/>
        </w:numPr>
        <w:spacing w:after="0" w:line="240" w:lineRule="auto"/>
        <w:rPr>
          <w:rFonts w:ascii="Arial" w:eastAsia="Times New Roman" w:hAnsi="Arial" w:cs="Arial"/>
          <w:sz w:val="24"/>
          <w:szCs w:val="24"/>
        </w:rPr>
      </w:pPr>
      <w:r w:rsidRPr="00C576BF">
        <w:rPr>
          <w:rFonts w:ascii="Arial" w:eastAsia="Times New Roman" w:hAnsi="Arial" w:cs="Arial"/>
          <w:sz w:val="24"/>
          <w:szCs w:val="24"/>
        </w:rPr>
        <w:lastRenderedPageBreak/>
        <w:t xml:space="preserve">The allocations received by local authorities </w:t>
      </w:r>
      <w:r>
        <w:rPr>
          <w:rFonts w:ascii="Arial" w:eastAsia="Times New Roman" w:hAnsi="Arial" w:cs="Arial"/>
          <w:sz w:val="24"/>
          <w:szCs w:val="24"/>
        </w:rPr>
        <w:t>are based on the age of the child on arrival in the UK and do not account for individuals moving through the key stages.</w:t>
      </w:r>
    </w:p>
    <w:p w14:paraId="1A536DAA" w14:textId="77777777" w:rsidR="004259BD" w:rsidRPr="00EF7B8F" w:rsidRDefault="004259BD" w:rsidP="004259BD">
      <w:pPr>
        <w:spacing w:after="0" w:line="240" w:lineRule="auto"/>
        <w:rPr>
          <w:rFonts w:ascii="Arial" w:eastAsia="Times New Roman" w:hAnsi="Arial" w:cs="Arial"/>
          <w:sz w:val="24"/>
          <w:szCs w:val="24"/>
        </w:rPr>
      </w:pPr>
    </w:p>
    <w:p w14:paraId="7D2A517D" w14:textId="77777777" w:rsidR="004259BD" w:rsidRPr="004259BD" w:rsidRDefault="004259BD" w:rsidP="004259BD">
      <w:pPr>
        <w:pStyle w:val="ListParagraph"/>
        <w:numPr>
          <w:ilvl w:val="0"/>
          <w:numId w:val="3"/>
        </w:numPr>
        <w:spacing w:after="0" w:line="240" w:lineRule="auto"/>
        <w:rPr>
          <w:rFonts w:ascii="Arial" w:eastAsia="Times New Roman" w:hAnsi="Arial" w:cs="Arial"/>
          <w:color w:val="0B0C0C"/>
          <w:sz w:val="24"/>
          <w:szCs w:val="24"/>
          <w:lang w:eastAsia="en-GB"/>
        </w:rPr>
      </w:pPr>
      <w:r>
        <w:rPr>
          <w:rFonts w:ascii="Arial" w:eastAsia="Times New Roman" w:hAnsi="Arial" w:cs="Arial"/>
          <w:sz w:val="24"/>
          <w:szCs w:val="24"/>
        </w:rPr>
        <w:t>T</w:t>
      </w:r>
      <w:r w:rsidR="0071118F" w:rsidRPr="004259BD">
        <w:rPr>
          <w:rFonts w:ascii="Arial" w:eastAsia="Times New Roman" w:hAnsi="Arial" w:cs="Arial"/>
          <w:sz w:val="24"/>
          <w:szCs w:val="24"/>
        </w:rPr>
        <w:t xml:space="preserve">o provide specialist EAL support to children, parental engagement and school support through the New Communities Achievement Team. </w:t>
      </w:r>
    </w:p>
    <w:p w14:paraId="5B853340" w14:textId="77777777" w:rsidR="004259BD" w:rsidRPr="004259BD" w:rsidRDefault="004259BD" w:rsidP="004259BD">
      <w:pPr>
        <w:pStyle w:val="ListParagraph"/>
        <w:rPr>
          <w:rFonts w:ascii="Arial" w:eastAsia="Times New Roman" w:hAnsi="Arial" w:cs="Arial"/>
          <w:sz w:val="24"/>
          <w:szCs w:val="24"/>
        </w:rPr>
      </w:pPr>
    </w:p>
    <w:p w14:paraId="5024BF56" w14:textId="1407B2A5" w:rsidR="0071118F" w:rsidRPr="004259BD" w:rsidRDefault="004259BD" w:rsidP="004259BD">
      <w:pPr>
        <w:pStyle w:val="ListParagraph"/>
        <w:numPr>
          <w:ilvl w:val="0"/>
          <w:numId w:val="3"/>
        </w:numPr>
        <w:spacing w:after="0" w:line="240" w:lineRule="auto"/>
        <w:rPr>
          <w:rFonts w:ascii="Arial" w:eastAsia="Times New Roman" w:hAnsi="Arial" w:cs="Arial"/>
          <w:color w:val="0B0C0C"/>
          <w:sz w:val="24"/>
          <w:szCs w:val="24"/>
          <w:lang w:eastAsia="en-GB"/>
        </w:rPr>
      </w:pPr>
      <w:r>
        <w:rPr>
          <w:rFonts w:ascii="Arial" w:eastAsia="Times New Roman" w:hAnsi="Arial" w:cs="Arial"/>
          <w:sz w:val="24"/>
          <w:szCs w:val="24"/>
        </w:rPr>
        <w:t>I</w:t>
      </w:r>
      <w:r w:rsidR="0071118F" w:rsidRPr="004259BD">
        <w:rPr>
          <w:rFonts w:ascii="Arial" w:eastAsia="Times New Roman" w:hAnsi="Arial" w:cs="Arial"/>
          <w:sz w:val="24"/>
          <w:szCs w:val="24"/>
        </w:rPr>
        <w:t>t is expected that local authorities will provide access to extra-curricular activities for example, sports, community services whose provision benefits the children and</w:t>
      </w:r>
      <w:r>
        <w:rPr>
          <w:rFonts w:ascii="Arial" w:eastAsia="Times New Roman" w:hAnsi="Arial" w:cs="Arial"/>
          <w:sz w:val="24"/>
          <w:szCs w:val="24"/>
        </w:rPr>
        <w:t xml:space="preserve"> </w:t>
      </w:r>
      <w:r w:rsidR="0071118F" w:rsidRPr="004259BD">
        <w:rPr>
          <w:rFonts w:ascii="Arial" w:eastAsia="Times New Roman" w:hAnsi="Arial" w:cs="Arial"/>
          <w:sz w:val="24"/>
          <w:szCs w:val="24"/>
        </w:rPr>
        <w:t>any other reasonable costs associated with the provision of education and childcare for the children.</w:t>
      </w:r>
    </w:p>
    <w:p w14:paraId="3E777D1A" w14:textId="77777777" w:rsidR="004259BD" w:rsidRDefault="004259BD" w:rsidP="004259BD">
      <w:pPr>
        <w:spacing w:after="0" w:line="240" w:lineRule="auto"/>
        <w:rPr>
          <w:rFonts w:ascii="Arial" w:eastAsia="Times New Roman" w:hAnsi="Arial" w:cs="Arial"/>
          <w:sz w:val="24"/>
          <w:szCs w:val="24"/>
        </w:rPr>
      </w:pPr>
    </w:p>
    <w:p w14:paraId="44200A65" w14:textId="3641720D" w:rsidR="00EF7B8F" w:rsidRPr="00EF7B8F" w:rsidRDefault="00EF7B8F" w:rsidP="004259BD">
      <w:pPr>
        <w:spacing w:after="0" w:line="240" w:lineRule="auto"/>
        <w:rPr>
          <w:rFonts w:ascii="Arial" w:eastAsia="Times New Roman" w:hAnsi="Arial" w:cs="Arial"/>
          <w:sz w:val="24"/>
          <w:szCs w:val="24"/>
        </w:rPr>
      </w:pPr>
      <w:r w:rsidRPr="00EF7B8F">
        <w:rPr>
          <w:rFonts w:ascii="Arial" w:eastAsia="Times New Roman" w:hAnsi="Arial" w:cs="Arial"/>
          <w:sz w:val="24"/>
          <w:szCs w:val="24"/>
        </w:rPr>
        <w:t xml:space="preserve">Any unspent funds at the end of the funding period </w:t>
      </w:r>
      <w:r w:rsidR="00362A3D">
        <w:rPr>
          <w:rFonts w:ascii="Arial" w:eastAsia="Times New Roman" w:hAnsi="Arial" w:cs="Arial"/>
          <w:sz w:val="24"/>
          <w:szCs w:val="24"/>
        </w:rPr>
        <w:t>will</w:t>
      </w:r>
      <w:r w:rsidRPr="00EF7B8F">
        <w:rPr>
          <w:rFonts w:ascii="Arial" w:eastAsia="Times New Roman" w:hAnsi="Arial" w:cs="Arial"/>
          <w:sz w:val="24"/>
          <w:szCs w:val="24"/>
        </w:rPr>
        <w:t xml:space="preserve"> be passed onto schools.</w:t>
      </w:r>
    </w:p>
    <w:p w14:paraId="3B6B1DDF" w14:textId="0A816842" w:rsidR="00EF7B8F" w:rsidRDefault="00EF7B8F" w:rsidP="004259BD">
      <w:pPr>
        <w:spacing w:after="0" w:line="240" w:lineRule="auto"/>
        <w:rPr>
          <w:rFonts w:ascii="Arial" w:hAnsi="Arial" w:cs="Arial"/>
          <w:sz w:val="24"/>
          <w:szCs w:val="24"/>
        </w:rPr>
      </w:pPr>
    </w:p>
    <w:p w14:paraId="106D6606" w14:textId="090C03E7" w:rsidR="00A9654F" w:rsidRDefault="00C576BF" w:rsidP="004259BD">
      <w:pPr>
        <w:spacing w:after="0" w:line="240" w:lineRule="auto"/>
        <w:rPr>
          <w:rFonts w:ascii="Arial" w:hAnsi="Arial" w:cs="Arial"/>
          <w:sz w:val="24"/>
          <w:szCs w:val="24"/>
        </w:rPr>
      </w:pPr>
      <w:r>
        <w:rPr>
          <w:rFonts w:ascii="Arial" w:hAnsi="Arial" w:cs="Arial"/>
          <w:sz w:val="24"/>
          <w:szCs w:val="24"/>
        </w:rPr>
        <w:t>We recognise that there is uncertainty regarding funding allocations beyond March 2023 and are awaiting guidance from government and DfE. The first payment will be arrears for March to August 2022</w:t>
      </w:r>
      <w:r w:rsidR="00B33A62">
        <w:rPr>
          <w:rFonts w:ascii="Arial" w:hAnsi="Arial" w:cs="Arial"/>
          <w:sz w:val="24"/>
          <w:szCs w:val="24"/>
        </w:rPr>
        <w:t>.</w:t>
      </w:r>
    </w:p>
    <w:p w14:paraId="4015B89B" w14:textId="77777777" w:rsidR="00A9654F" w:rsidRDefault="00A9654F" w:rsidP="004259BD">
      <w:pPr>
        <w:spacing w:after="0" w:line="240" w:lineRule="auto"/>
        <w:rPr>
          <w:rFonts w:ascii="Arial" w:hAnsi="Arial" w:cs="Arial"/>
          <w:sz w:val="24"/>
          <w:szCs w:val="24"/>
        </w:rPr>
      </w:pPr>
    </w:p>
    <w:p w14:paraId="63663C26" w14:textId="14113125" w:rsidR="00B831F9" w:rsidRDefault="00B831F9" w:rsidP="00B831F9">
      <w:pPr>
        <w:spacing w:after="0" w:line="240" w:lineRule="auto"/>
        <w:rPr>
          <w:rFonts w:ascii="Arial" w:hAnsi="Arial" w:cs="Arial"/>
          <w:sz w:val="24"/>
          <w:szCs w:val="24"/>
        </w:rPr>
      </w:pPr>
      <w:r>
        <w:rPr>
          <w:rFonts w:ascii="Arial" w:hAnsi="Arial" w:cs="Arial"/>
          <w:sz w:val="24"/>
          <w:szCs w:val="24"/>
        </w:rPr>
        <w:t>Payment</w:t>
      </w:r>
      <w:r>
        <w:rPr>
          <w:rFonts w:ascii="Arial" w:hAnsi="Arial" w:cs="Arial"/>
          <w:sz w:val="24"/>
          <w:szCs w:val="24"/>
        </w:rPr>
        <w:t xml:space="preserve"> Method</w:t>
      </w:r>
    </w:p>
    <w:p w14:paraId="7E3442A8" w14:textId="77777777" w:rsidR="00B831F9" w:rsidRDefault="00B831F9" w:rsidP="004259BD">
      <w:pPr>
        <w:spacing w:after="0" w:line="240" w:lineRule="auto"/>
        <w:rPr>
          <w:rFonts w:ascii="Arial" w:hAnsi="Arial" w:cs="Arial"/>
          <w:sz w:val="24"/>
          <w:szCs w:val="24"/>
        </w:rPr>
      </w:pPr>
    </w:p>
    <w:p w14:paraId="2171FA5B" w14:textId="22539F4A" w:rsidR="00B831F9" w:rsidRDefault="00B831F9" w:rsidP="004259BD">
      <w:pPr>
        <w:spacing w:after="0" w:line="240" w:lineRule="auto"/>
        <w:rPr>
          <w:rFonts w:ascii="Arial" w:hAnsi="Arial" w:cs="Arial"/>
          <w:sz w:val="24"/>
          <w:szCs w:val="24"/>
        </w:rPr>
      </w:pPr>
      <w:r>
        <w:rPr>
          <w:rFonts w:ascii="Arial" w:hAnsi="Arial" w:cs="Arial"/>
          <w:sz w:val="24"/>
          <w:szCs w:val="24"/>
        </w:rPr>
        <w:t>T</w:t>
      </w:r>
      <w:r>
        <w:rPr>
          <w:rFonts w:ascii="Arial" w:hAnsi="Arial" w:cs="Arial"/>
          <w:sz w:val="24"/>
          <w:szCs w:val="24"/>
        </w:rPr>
        <w:t xml:space="preserve">he first payment </w:t>
      </w:r>
      <w:r>
        <w:rPr>
          <w:rFonts w:ascii="Arial" w:hAnsi="Arial" w:cs="Arial"/>
          <w:sz w:val="24"/>
          <w:szCs w:val="24"/>
        </w:rPr>
        <w:t xml:space="preserve">will be processed </w:t>
      </w:r>
      <w:r>
        <w:rPr>
          <w:rFonts w:ascii="Arial" w:hAnsi="Arial" w:cs="Arial"/>
          <w:sz w:val="24"/>
          <w:szCs w:val="24"/>
        </w:rPr>
        <w:t xml:space="preserve">at the end of November, </w:t>
      </w:r>
      <w:r>
        <w:rPr>
          <w:rFonts w:ascii="Arial" w:hAnsi="Arial" w:cs="Arial"/>
          <w:sz w:val="24"/>
          <w:szCs w:val="24"/>
        </w:rPr>
        <w:t>covering the period March 2022 to November 2022</w:t>
      </w:r>
      <w:r>
        <w:rPr>
          <w:rFonts w:ascii="Arial" w:hAnsi="Arial" w:cs="Arial"/>
          <w:sz w:val="24"/>
          <w:szCs w:val="24"/>
        </w:rPr>
        <w:t xml:space="preserve">. </w:t>
      </w:r>
    </w:p>
    <w:p w14:paraId="4FC724EB" w14:textId="77777777" w:rsidR="00B831F9" w:rsidRDefault="00B831F9" w:rsidP="004259BD">
      <w:pPr>
        <w:spacing w:after="0" w:line="240" w:lineRule="auto"/>
        <w:rPr>
          <w:rFonts w:ascii="Arial" w:hAnsi="Arial" w:cs="Arial"/>
          <w:sz w:val="24"/>
          <w:szCs w:val="24"/>
        </w:rPr>
      </w:pPr>
    </w:p>
    <w:p w14:paraId="625DD155" w14:textId="2C9E4B9A" w:rsidR="00B33A62" w:rsidRDefault="00A9654F" w:rsidP="004259BD">
      <w:pPr>
        <w:spacing w:after="0" w:line="240" w:lineRule="auto"/>
        <w:rPr>
          <w:rFonts w:ascii="Arial" w:hAnsi="Arial" w:cs="Arial"/>
          <w:sz w:val="24"/>
          <w:szCs w:val="24"/>
        </w:rPr>
      </w:pPr>
      <w:r>
        <w:rPr>
          <w:rFonts w:ascii="Arial" w:hAnsi="Arial" w:cs="Arial"/>
          <w:sz w:val="24"/>
          <w:szCs w:val="24"/>
        </w:rPr>
        <w:t xml:space="preserve">Academies </w:t>
      </w:r>
      <w:r w:rsidR="00B831F9">
        <w:rPr>
          <w:rFonts w:ascii="Arial" w:hAnsi="Arial" w:cs="Arial"/>
          <w:sz w:val="24"/>
          <w:szCs w:val="24"/>
        </w:rPr>
        <w:t>–</w:t>
      </w:r>
      <w:r>
        <w:rPr>
          <w:rFonts w:ascii="Arial" w:hAnsi="Arial" w:cs="Arial"/>
          <w:sz w:val="24"/>
          <w:szCs w:val="24"/>
        </w:rPr>
        <w:t xml:space="preserve"> </w:t>
      </w:r>
      <w:r w:rsidR="00B831F9">
        <w:rPr>
          <w:rFonts w:ascii="Arial" w:hAnsi="Arial" w:cs="Arial"/>
          <w:sz w:val="24"/>
          <w:szCs w:val="24"/>
        </w:rPr>
        <w:t>will be</w:t>
      </w:r>
      <w:r w:rsidRPr="00A9654F">
        <w:rPr>
          <w:rFonts w:ascii="Arial" w:hAnsi="Arial" w:cs="Arial"/>
          <w:sz w:val="24"/>
          <w:szCs w:val="24"/>
        </w:rPr>
        <w:t xml:space="preserve"> paid via cheque requisition raising</w:t>
      </w:r>
      <w:r w:rsidR="00B33A62">
        <w:rPr>
          <w:rFonts w:ascii="Arial" w:hAnsi="Arial" w:cs="Arial"/>
          <w:sz w:val="24"/>
          <w:szCs w:val="24"/>
        </w:rPr>
        <w:t xml:space="preserve"> or BACS transfer. We will contact you to confirm payment details.</w:t>
      </w:r>
    </w:p>
    <w:p w14:paraId="2EEA2D4B" w14:textId="77777777" w:rsidR="00B33A62" w:rsidRDefault="00B33A62" w:rsidP="004259BD">
      <w:pPr>
        <w:spacing w:after="0" w:line="240" w:lineRule="auto"/>
        <w:rPr>
          <w:rFonts w:ascii="Arial" w:hAnsi="Arial" w:cs="Arial"/>
          <w:sz w:val="24"/>
          <w:szCs w:val="24"/>
        </w:rPr>
      </w:pPr>
    </w:p>
    <w:p w14:paraId="21895A5C" w14:textId="14E87CD7" w:rsidR="009D389F" w:rsidRDefault="00B33A62" w:rsidP="004259BD">
      <w:pPr>
        <w:spacing w:after="0" w:line="240" w:lineRule="auto"/>
        <w:rPr>
          <w:rFonts w:ascii="Arial" w:hAnsi="Arial" w:cs="Arial"/>
          <w:sz w:val="24"/>
          <w:szCs w:val="24"/>
        </w:rPr>
      </w:pPr>
      <w:r>
        <w:rPr>
          <w:rFonts w:ascii="Arial" w:hAnsi="Arial" w:cs="Arial"/>
          <w:sz w:val="24"/>
          <w:szCs w:val="24"/>
        </w:rPr>
        <w:t xml:space="preserve">Maintained schools – we will apply an </w:t>
      </w:r>
      <w:r w:rsidR="00A9654F" w:rsidRPr="00A9654F">
        <w:rPr>
          <w:rFonts w:ascii="Arial" w:hAnsi="Arial" w:cs="Arial"/>
          <w:sz w:val="24"/>
          <w:szCs w:val="24"/>
        </w:rPr>
        <w:t xml:space="preserve">internal recharge journal.  </w:t>
      </w:r>
    </w:p>
    <w:p w14:paraId="360A042C" w14:textId="394ECB13" w:rsidR="00B33A62" w:rsidRDefault="00B33A62" w:rsidP="004259BD">
      <w:pPr>
        <w:spacing w:after="0" w:line="240" w:lineRule="auto"/>
        <w:rPr>
          <w:rFonts w:ascii="Arial" w:hAnsi="Arial" w:cs="Arial"/>
          <w:sz w:val="24"/>
          <w:szCs w:val="24"/>
        </w:rPr>
      </w:pPr>
    </w:p>
    <w:p w14:paraId="1ED16F7F" w14:textId="6909F720" w:rsidR="00B33A62" w:rsidRDefault="00B33A62" w:rsidP="004259BD">
      <w:pPr>
        <w:spacing w:after="0" w:line="240" w:lineRule="auto"/>
        <w:rPr>
          <w:rFonts w:ascii="Arial" w:hAnsi="Arial" w:cs="Arial"/>
          <w:sz w:val="24"/>
          <w:szCs w:val="24"/>
        </w:rPr>
      </w:pPr>
      <w:r>
        <w:rPr>
          <w:rFonts w:ascii="Arial" w:hAnsi="Arial" w:cs="Arial"/>
          <w:sz w:val="24"/>
          <w:szCs w:val="24"/>
        </w:rPr>
        <w:t>For any queries or questions regarding the funding, please contact:</w:t>
      </w:r>
    </w:p>
    <w:p w14:paraId="3E5A754B" w14:textId="2F52A2F3" w:rsidR="00143614" w:rsidRDefault="00143614" w:rsidP="004259BD">
      <w:pPr>
        <w:spacing w:after="0" w:line="240" w:lineRule="auto"/>
        <w:rPr>
          <w:rFonts w:ascii="Arial" w:hAnsi="Arial" w:cs="Arial"/>
          <w:sz w:val="24"/>
          <w:szCs w:val="24"/>
        </w:rPr>
      </w:pPr>
    </w:p>
    <w:p w14:paraId="104222EA" w14:textId="543555C2" w:rsidR="00143614" w:rsidRDefault="00143614" w:rsidP="004259BD">
      <w:pPr>
        <w:spacing w:after="0" w:line="240" w:lineRule="auto"/>
        <w:rPr>
          <w:rFonts w:ascii="Arial" w:hAnsi="Arial" w:cs="Arial"/>
          <w:sz w:val="24"/>
          <w:szCs w:val="24"/>
        </w:rPr>
      </w:pPr>
      <w:r>
        <w:rPr>
          <w:rFonts w:ascii="Arial" w:hAnsi="Arial" w:cs="Arial"/>
          <w:sz w:val="24"/>
          <w:szCs w:val="24"/>
        </w:rPr>
        <w:t>Pop Gill</w:t>
      </w:r>
    </w:p>
    <w:p w14:paraId="1D27E36C" w14:textId="1E4C67F3" w:rsidR="00143614" w:rsidRDefault="00143614" w:rsidP="004259BD">
      <w:pPr>
        <w:spacing w:after="0" w:line="240" w:lineRule="auto"/>
        <w:rPr>
          <w:rFonts w:ascii="Arial" w:hAnsi="Arial" w:cs="Arial"/>
          <w:sz w:val="24"/>
          <w:szCs w:val="24"/>
        </w:rPr>
      </w:pPr>
    </w:p>
    <w:p w14:paraId="743C9437" w14:textId="1CF91541" w:rsidR="00143614" w:rsidRDefault="00143614" w:rsidP="004259BD">
      <w:pPr>
        <w:spacing w:after="0" w:line="240" w:lineRule="auto"/>
        <w:rPr>
          <w:rFonts w:ascii="Arial" w:hAnsi="Arial" w:cs="Arial"/>
          <w:sz w:val="24"/>
          <w:szCs w:val="24"/>
        </w:rPr>
      </w:pPr>
      <w:r>
        <w:rPr>
          <w:rFonts w:ascii="Arial" w:hAnsi="Arial" w:cs="Arial"/>
          <w:sz w:val="24"/>
          <w:szCs w:val="24"/>
        </w:rPr>
        <w:t>Prevent and Integration Manager</w:t>
      </w:r>
    </w:p>
    <w:p w14:paraId="1AB118E9" w14:textId="17156DC3" w:rsidR="00143614" w:rsidRDefault="00143614" w:rsidP="004259BD">
      <w:pPr>
        <w:spacing w:after="0" w:line="240" w:lineRule="auto"/>
        <w:rPr>
          <w:rFonts w:ascii="Arial" w:hAnsi="Arial" w:cs="Arial"/>
          <w:sz w:val="24"/>
          <w:szCs w:val="24"/>
        </w:rPr>
      </w:pPr>
    </w:p>
    <w:p w14:paraId="2C209C22" w14:textId="13EE3529" w:rsidR="00143614" w:rsidRDefault="00143614" w:rsidP="004259BD">
      <w:pPr>
        <w:spacing w:after="0" w:line="240" w:lineRule="auto"/>
        <w:rPr>
          <w:rFonts w:ascii="Arial" w:hAnsi="Arial" w:cs="Arial"/>
          <w:sz w:val="24"/>
          <w:szCs w:val="24"/>
        </w:rPr>
      </w:pPr>
      <w:r>
        <w:rPr>
          <w:rFonts w:ascii="Arial" w:hAnsi="Arial" w:cs="Arial"/>
          <w:sz w:val="24"/>
          <w:szCs w:val="24"/>
        </w:rPr>
        <w:t>Community Safety and Integration</w:t>
      </w:r>
    </w:p>
    <w:p w14:paraId="2B4512C7" w14:textId="347A29B5" w:rsidR="00143614" w:rsidRDefault="00143614" w:rsidP="004259BD">
      <w:pPr>
        <w:spacing w:after="0" w:line="240" w:lineRule="auto"/>
        <w:rPr>
          <w:rFonts w:ascii="Arial" w:hAnsi="Arial" w:cs="Arial"/>
          <w:sz w:val="24"/>
          <w:szCs w:val="24"/>
        </w:rPr>
      </w:pPr>
    </w:p>
    <w:p w14:paraId="4D9EC6FD" w14:textId="349C177B" w:rsidR="00143614" w:rsidRDefault="00143614" w:rsidP="004259BD">
      <w:pPr>
        <w:spacing w:after="0" w:line="240" w:lineRule="auto"/>
        <w:rPr>
          <w:rFonts w:ascii="Arial" w:hAnsi="Arial" w:cs="Arial"/>
          <w:sz w:val="24"/>
          <w:szCs w:val="24"/>
        </w:rPr>
      </w:pPr>
      <w:r>
        <w:rPr>
          <w:rFonts w:ascii="Arial" w:hAnsi="Arial" w:cs="Arial"/>
          <w:sz w:val="24"/>
          <w:szCs w:val="24"/>
        </w:rPr>
        <w:t>Derby City Council</w:t>
      </w:r>
    </w:p>
    <w:p w14:paraId="183B7538" w14:textId="3C0CA5EF" w:rsidR="00143614" w:rsidRDefault="00143614" w:rsidP="004259BD">
      <w:pPr>
        <w:spacing w:after="0" w:line="240" w:lineRule="auto"/>
        <w:rPr>
          <w:rFonts w:ascii="Arial" w:hAnsi="Arial" w:cs="Arial"/>
          <w:sz w:val="24"/>
          <w:szCs w:val="24"/>
        </w:rPr>
      </w:pPr>
    </w:p>
    <w:p w14:paraId="4C468B54" w14:textId="03A9A05F" w:rsidR="00143614" w:rsidRDefault="008B258A" w:rsidP="004259BD">
      <w:pPr>
        <w:spacing w:after="0" w:line="240" w:lineRule="auto"/>
        <w:rPr>
          <w:rFonts w:ascii="Arial" w:hAnsi="Arial" w:cs="Arial"/>
          <w:sz w:val="24"/>
          <w:szCs w:val="24"/>
        </w:rPr>
      </w:pPr>
      <w:hyperlink r:id="rId7" w:history="1">
        <w:r w:rsidRPr="00AA50B5">
          <w:rPr>
            <w:rStyle w:val="Hyperlink"/>
            <w:rFonts w:ascii="Arial" w:hAnsi="Arial" w:cs="Arial"/>
            <w:sz w:val="24"/>
            <w:szCs w:val="24"/>
          </w:rPr>
          <w:t>purjinder.gill@derby.gov.uk</w:t>
        </w:r>
      </w:hyperlink>
    </w:p>
    <w:p w14:paraId="57E3B897" w14:textId="68E1F4A8" w:rsidR="00143614" w:rsidRDefault="00143614" w:rsidP="004259BD">
      <w:pPr>
        <w:spacing w:after="0" w:line="240" w:lineRule="auto"/>
        <w:rPr>
          <w:rFonts w:ascii="Arial" w:hAnsi="Arial" w:cs="Arial"/>
          <w:sz w:val="24"/>
          <w:szCs w:val="24"/>
        </w:rPr>
      </w:pPr>
    </w:p>
    <w:p w14:paraId="3F73B00A" w14:textId="77777777" w:rsidR="00143614" w:rsidRDefault="00143614" w:rsidP="004259BD">
      <w:pPr>
        <w:spacing w:after="0" w:line="240" w:lineRule="auto"/>
        <w:rPr>
          <w:rFonts w:ascii="Arial" w:hAnsi="Arial" w:cs="Arial"/>
          <w:sz w:val="24"/>
          <w:szCs w:val="24"/>
        </w:rPr>
      </w:pPr>
    </w:p>
    <w:p w14:paraId="75B47EB9" w14:textId="286E730C" w:rsidR="00B33A62" w:rsidRDefault="00B33A62" w:rsidP="004259BD">
      <w:pPr>
        <w:spacing w:after="0" w:line="240" w:lineRule="auto"/>
        <w:rPr>
          <w:rFonts w:ascii="Arial" w:hAnsi="Arial" w:cs="Arial"/>
          <w:sz w:val="24"/>
          <w:szCs w:val="24"/>
        </w:rPr>
      </w:pPr>
    </w:p>
    <w:p w14:paraId="3040664E" w14:textId="31A19B19" w:rsidR="00B33A62" w:rsidRDefault="00B33A62" w:rsidP="004259BD">
      <w:pPr>
        <w:spacing w:after="0" w:line="240" w:lineRule="auto"/>
        <w:rPr>
          <w:rFonts w:ascii="Arial" w:hAnsi="Arial" w:cs="Arial"/>
          <w:sz w:val="24"/>
          <w:szCs w:val="24"/>
        </w:rPr>
      </w:pPr>
    </w:p>
    <w:p w14:paraId="1FC7E2FA" w14:textId="04D0DAD7" w:rsidR="00BB2F8A" w:rsidRDefault="00BB2F8A">
      <w:pPr>
        <w:rPr>
          <w:rFonts w:ascii="Arial" w:hAnsi="Arial" w:cs="Arial"/>
          <w:sz w:val="24"/>
          <w:szCs w:val="24"/>
        </w:rPr>
      </w:pPr>
      <w:r>
        <w:rPr>
          <w:rFonts w:ascii="Arial" w:hAnsi="Arial" w:cs="Arial"/>
          <w:sz w:val="24"/>
          <w:szCs w:val="24"/>
        </w:rPr>
        <w:br w:type="page"/>
      </w:r>
    </w:p>
    <w:p w14:paraId="2FE5293D" w14:textId="77777777" w:rsidR="00BB2F8A" w:rsidRDefault="00BB2F8A" w:rsidP="004259BD">
      <w:pPr>
        <w:spacing w:after="0" w:line="240" w:lineRule="auto"/>
        <w:rPr>
          <w:rFonts w:ascii="Arial" w:hAnsi="Arial" w:cs="Arial"/>
          <w:sz w:val="24"/>
          <w:szCs w:val="24"/>
        </w:rPr>
        <w:sectPr w:rsidR="00BB2F8A">
          <w:headerReference w:type="first" r:id="rId8"/>
          <w:pgSz w:w="11906" w:h="16838"/>
          <w:pgMar w:top="1440" w:right="1440" w:bottom="1440" w:left="1440" w:header="708" w:footer="708" w:gutter="0"/>
          <w:cols w:space="708"/>
          <w:docGrid w:linePitch="360"/>
        </w:sectPr>
      </w:pPr>
    </w:p>
    <w:p w14:paraId="5BAE2368" w14:textId="04626E41" w:rsidR="00B32CB8" w:rsidRDefault="00B32CB8" w:rsidP="007518A2">
      <w:pPr>
        <w:spacing w:after="0" w:line="240" w:lineRule="auto"/>
        <w:rPr>
          <w:rFonts w:ascii="Arial" w:hAnsi="Arial" w:cs="Arial"/>
          <w:sz w:val="24"/>
          <w:szCs w:val="24"/>
        </w:rPr>
      </w:pPr>
      <w:r>
        <w:rPr>
          <w:rFonts w:ascii="Arial" w:hAnsi="Arial" w:cs="Arial"/>
          <w:sz w:val="24"/>
          <w:szCs w:val="24"/>
        </w:rPr>
        <w:lastRenderedPageBreak/>
        <w:t>AWPU Payment Rates</w:t>
      </w:r>
    </w:p>
    <w:tbl>
      <w:tblPr>
        <w:tblW w:w="14794" w:type="dxa"/>
        <w:tblLook w:val="04A0" w:firstRow="1" w:lastRow="0" w:firstColumn="1" w:lastColumn="0" w:noHBand="0" w:noVBand="1"/>
      </w:tblPr>
      <w:tblGrid>
        <w:gridCol w:w="1691"/>
        <w:gridCol w:w="3503"/>
        <w:gridCol w:w="2540"/>
        <w:gridCol w:w="1820"/>
        <w:gridCol w:w="1760"/>
        <w:gridCol w:w="1860"/>
        <w:gridCol w:w="1620"/>
      </w:tblGrid>
      <w:tr w:rsidR="00BB2F8A" w:rsidRPr="00BB2F8A" w14:paraId="5DD090C8" w14:textId="77777777" w:rsidTr="001819B6">
        <w:trPr>
          <w:trHeight w:val="290"/>
        </w:trPr>
        <w:tc>
          <w:tcPr>
            <w:tcW w:w="1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6DCE72"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 </w:t>
            </w:r>
          </w:p>
        </w:tc>
        <w:tc>
          <w:tcPr>
            <w:tcW w:w="3503" w:type="dxa"/>
            <w:tcBorders>
              <w:top w:val="single" w:sz="8" w:space="0" w:color="auto"/>
              <w:left w:val="nil"/>
              <w:bottom w:val="single" w:sz="4" w:space="0" w:color="auto"/>
              <w:right w:val="single" w:sz="4" w:space="0" w:color="auto"/>
            </w:tcBorders>
            <w:shd w:val="clear" w:color="auto" w:fill="auto"/>
            <w:noWrap/>
            <w:vAlign w:val="bottom"/>
            <w:hideMark/>
          </w:tcPr>
          <w:p w14:paraId="7495C001"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Arrival Period</w:t>
            </w:r>
          </w:p>
        </w:tc>
        <w:tc>
          <w:tcPr>
            <w:tcW w:w="2540" w:type="dxa"/>
            <w:tcBorders>
              <w:top w:val="single" w:sz="8" w:space="0" w:color="auto"/>
              <w:left w:val="nil"/>
              <w:bottom w:val="single" w:sz="4" w:space="0" w:color="auto"/>
              <w:right w:val="single" w:sz="4" w:space="0" w:color="auto"/>
            </w:tcBorders>
            <w:shd w:val="clear" w:color="auto" w:fill="auto"/>
            <w:noWrap/>
            <w:vAlign w:val="bottom"/>
            <w:hideMark/>
          </w:tcPr>
          <w:p w14:paraId="5D521F6B" w14:textId="41173C17" w:rsidR="00F40644" w:rsidRDefault="00BB2F8A" w:rsidP="00F40644">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Q1</w:t>
            </w:r>
            <w:r w:rsidR="00F40644">
              <w:rPr>
                <w:rFonts w:ascii="Calibri" w:eastAsia="Times New Roman" w:hAnsi="Calibri" w:cs="Calibri"/>
                <w:color w:val="000000"/>
                <w:lang w:eastAsia="en-GB"/>
              </w:rPr>
              <w:t xml:space="preserve"> Mar - May</w:t>
            </w:r>
          </w:p>
          <w:p w14:paraId="2FF3E957" w14:textId="36044830" w:rsidR="00BB2F8A" w:rsidRPr="00BB2F8A" w:rsidRDefault="00F40644" w:rsidP="00F4064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w:t>
            </w:r>
            <w:r w:rsidR="00BB2F8A" w:rsidRPr="00BB2F8A">
              <w:rPr>
                <w:rFonts w:ascii="Calibri" w:eastAsia="Times New Roman" w:hAnsi="Calibri" w:cs="Calibri"/>
                <w:color w:val="000000"/>
                <w:lang w:eastAsia="en-GB"/>
              </w:rPr>
              <w:t>ayment</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14:paraId="1A2A3E39" w14:textId="3193A81D" w:rsidR="00F40644" w:rsidRDefault="00BB2F8A" w:rsidP="00F40644">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Q2 </w:t>
            </w:r>
            <w:r w:rsidR="00F40644">
              <w:rPr>
                <w:rFonts w:ascii="Calibri" w:eastAsia="Times New Roman" w:hAnsi="Calibri" w:cs="Calibri"/>
                <w:color w:val="000000"/>
                <w:lang w:eastAsia="en-GB"/>
              </w:rPr>
              <w:t>April - Aug</w:t>
            </w:r>
          </w:p>
          <w:p w14:paraId="3B4B7590" w14:textId="1D6DD8FE" w:rsidR="00BB2F8A" w:rsidRPr="00BB2F8A" w:rsidRDefault="00BB2F8A" w:rsidP="00F40644">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Payment</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58E9EFAD" w14:textId="577A61E0" w:rsidR="00BB2F8A" w:rsidRPr="00BB2F8A" w:rsidRDefault="00BB2F8A" w:rsidP="00F40644">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Q3</w:t>
            </w:r>
            <w:r w:rsidR="00F40644">
              <w:rPr>
                <w:rFonts w:ascii="Calibri" w:eastAsia="Times New Roman" w:hAnsi="Calibri" w:cs="Calibri"/>
                <w:color w:val="000000"/>
                <w:lang w:eastAsia="en-GB"/>
              </w:rPr>
              <w:t xml:space="preserve"> Sept - Nov</w:t>
            </w:r>
            <w:r w:rsidRPr="00BB2F8A">
              <w:rPr>
                <w:rFonts w:ascii="Calibri" w:eastAsia="Times New Roman" w:hAnsi="Calibri" w:cs="Calibri"/>
                <w:color w:val="000000"/>
                <w:lang w:eastAsia="en-GB"/>
              </w:rPr>
              <w:t xml:space="preserve"> Payment</w:t>
            </w:r>
          </w:p>
        </w:tc>
        <w:tc>
          <w:tcPr>
            <w:tcW w:w="1860" w:type="dxa"/>
            <w:tcBorders>
              <w:top w:val="single" w:sz="8" w:space="0" w:color="auto"/>
              <w:left w:val="nil"/>
              <w:bottom w:val="single" w:sz="4" w:space="0" w:color="auto"/>
              <w:right w:val="nil"/>
            </w:tcBorders>
            <w:shd w:val="clear" w:color="auto" w:fill="auto"/>
            <w:noWrap/>
            <w:vAlign w:val="bottom"/>
            <w:hideMark/>
          </w:tcPr>
          <w:p w14:paraId="219C9BF0" w14:textId="1961B7A9" w:rsidR="00BB2F8A" w:rsidRPr="00BB2F8A" w:rsidRDefault="00BB2F8A" w:rsidP="00F40644">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Q4 </w:t>
            </w:r>
            <w:r w:rsidR="00F40644">
              <w:rPr>
                <w:rFonts w:ascii="Calibri" w:eastAsia="Times New Roman" w:hAnsi="Calibri" w:cs="Calibri"/>
                <w:color w:val="000000"/>
                <w:lang w:eastAsia="en-GB"/>
              </w:rPr>
              <w:t xml:space="preserve">Dec – Feb </w:t>
            </w:r>
            <w:r w:rsidRPr="00BB2F8A">
              <w:rPr>
                <w:rFonts w:ascii="Calibri" w:eastAsia="Times New Roman" w:hAnsi="Calibri" w:cs="Calibri"/>
                <w:color w:val="000000"/>
                <w:lang w:eastAsia="en-GB"/>
              </w:rPr>
              <w:t>Payment</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1702BC"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 Total Payable </w:t>
            </w:r>
          </w:p>
        </w:tc>
      </w:tr>
      <w:tr w:rsidR="00BB2F8A" w:rsidRPr="00BB2F8A" w14:paraId="7444D235" w14:textId="77777777" w:rsidTr="001819B6">
        <w:trPr>
          <w:trHeight w:val="258"/>
        </w:trPr>
        <w:tc>
          <w:tcPr>
            <w:tcW w:w="16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4F2287" w14:textId="7769CDA3" w:rsidR="001819B6" w:rsidRDefault="0092583B" w:rsidP="00BB2F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Key Stage 1 - 3</w:t>
            </w:r>
          </w:p>
          <w:p w14:paraId="254F221F" w14:textId="640C34B6"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(Years R – 6)</w:t>
            </w:r>
          </w:p>
        </w:tc>
        <w:tc>
          <w:tcPr>
            <w:tcW w:w="3503" w:type="dxa"/>
            <w:tcBorders>
              <w:top w:val="nil"/>
              <w:left w:val="nil"/>
              <w:bottom w:val="single" w:sz="4" w:space="0" w:color="auto"/>
              <w:right w:val="single" w:sz="4" w:space="0" w:color="auto"/>
            </w:tcBorders>
            <w:shd w:val="clear" w:color="auto" w:fill="auto"/>
            <w:noWrap/>
            <w:vAlign w:val="bottom"/>
            <w:hideMark/>
          </w:tcPr>
          <w:p w14:paraId="67DCD474"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March to May 2022</w:t>
            </w:r>
          </w:p>
        </w:tc>
        <w:tc>
          <w:tcPr>
            <w:tcW w:w="2540" w:type="dxa"/>
            <w:tcBorders>
              <w:top w:val="nil"/>
              <w:left w:val="nil"/>
              <w:bottom w:val="single" w:sz="4" w:space="0" w:color="auto"/>
              <w:right w:val="single" w:sz="4" w:space="0" w:color="auto"/>
            </w:tcBorders>
            <w:shd w:val="clear" w:color="auto" w:fill="auto"/>
            <w:noWrap/>
            <w:vAlign w:val="bottom"/>
            <w:hideMark/>
          </w:tcPr>
          <w:p w14:paraId="1DCF5423" w14:textId="77777777"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820" w:type="dxa"/>
            <w:tcBorders>
              <w:top w:val="nil"/>
              <w:left w:val="nil"/>
              <w:bottom w:val="single" w:sz="4" w:space="0" w:color="auto"/>
              <w:right w:val="single" w:sz="4" w:space="0" w:color="auto"/>
            </w:tcBorders>
            <w:shd w:val="clear" w:color="auto" w:fill="auto"/>
            <w:noWrap/>
            <w:vAlign w:val="bottom"/>
            <w:hideMark/>
          </w:tcPr>
          <w:p w14:paraId="35DB8F11" w14:textId="66E12CA5"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760" w:type="dxa"/>
            <w:tcBorders>
              <w:top w:val="nil"/>
              <w:left w:val="nil"/>
              <w:bottom w:val="single" w:sz="4" w:space="0" w:color="auto"/>
              <w:right w:val="single" w:sz="4" w:space="0" w:color="auto"/>
            </w:tcBorders>
            <w:shd w:val="clear" w:color="auto" w:fill="auto"/>
            <w:noWrap/>
            <w:vAlign w:val="bottom"/>
            <w:hideMark/>
          </w:tcPr>
          <w:p w14:paraId="430C5C89" w14:textId="677A97CC"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860" w:type="dxa"/>
            <w:tcBorders>
              <w:top w:val="nil"/>
              <w:left w:val="nil"/>
              <w:bottom w:val="single" w:sz="4" w:space="0" w:color="auto"/>
              <w:right w:val="nil"/>
            </w:tcBorders>
            <w:shd w:val="clear" w:color="auto" w:fill="auto"/>
            <w:noWrap/>
            <w:vAlign w:val="bottom"/>
            <w:hideMark/>
          </w:tcPr>
          <w:p w14:paraId="4C46DA0C" w14:textId="651E4F7D"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5527D5E0" w14:textId="56DC5B3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3,217.00</w:t>
            </w:r>
          </w:p>
        </w:tc>
      </w:tr>
      <w:tr w:rsidR="00BB2F8A" w:rsidRPr="00BB2F8A" w14:paraId="54F0CB05"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0F41214F"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50A79676"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June to August 2022</w:t>
            </w:r>
          </w:p>
        </w:tc>
        <w:tc>
          <w:tcPr>
            <w:tcW w:w="2540" w:type="dxa"/>
            <w:tcBorders>
              <w:top w:val="nil"/>
              <w:left w:val="nil"/>
              <w:bottom w:val="single" w:sz="4" w:space="0" w:color="auto"/>
              <w:right w:val="single" w:sz="4" w:space="0" w:color="auto"/>
            </w:tcBorders>
            <w:shd w:val="clear" w:color="000000" w:fill="0D0D0D"/>
            <w:noWrap/>
            <w:vAlign w:val="bottom"/>
            <w:hideMark/>
          </w:tcPr>
          <w:p w14:paraId="484400A3" w14:textId="5EA3D033"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auto" w:fill="auto"/>
            <w:noWrap/>
            <w:vAlign w:val="bottom"/>
            <w:hideMark/>
          </w:tcPr>
          <w:p w14:paraId="73D949E6" w14:textId="4D772D76"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760" w:type="dxa"/>
            <w:tcBorders>
              <w:top w:val="nil"/>
              <w:left w:val="nil"/>
              <w:bottom w:val="single" w:sz="4" w:space="0" w:color="auto"/>
              <w:right w:val="single" w:sz="4" w:space="0" w:color="auto"/>
            </w:tcBorders>
            <w:shd w:val="clear" w:color="auto" w:fill="auto"/>
            <w:noWrap/>
            <w:vAlign w:val="bottom"/>
            <w:hideMark/>
          </w:tcPr>
          <w:p w14:paraId="71F4F0D7" w14:textId="7017E826"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860" w:type="dxa"/>
            <w:tcBorders>
              <w:top w:val="nil"/>
              <w:left w:val="nil"/>
              <w:bottom w:val="single" w:sz="4" w:space="0" w:color="auto"/>
              <w:right w:val="nil"/>
            </w:tcBorders>
            <w:shd w:val="clear" w:color="auto" w:fill="auto"/>
            <w:noWrap/>
            <w:vAlign w:val="bottom"/>
            <w:hideMark/>
          </w:tcPr>
          <w:p w14:paraId="5CC864B6" w14:textId="6031E34D"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0ECC76A8" w14:textId="74E9F795"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2,412.75</w:t>
            </w:r>
          </w:p>
        </w:tc>
      </w:tr>
      <w:tr w:rsidR="00BB2F8A" w:rsidRPr="00BB2F8A" w14:paraId="57FC2C7E"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34A95D4D"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606D2EAF"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September to November 2022</w:t>
            </w:r>
          </w:p>
        </w:tc>
        <w:tc>
          <w:tcPr>
            <w:tcW w:w="2540" w:type="dxa"/>
            <w:tcBorders>
              <w:top w:val="nil"/>
              <w:left w:val="nil"/>
              <w:bottom w:val="single" w:sz="4" w:space="0" w:color="auto"/>
              <w:right w:val="single" w:sz="4" w:space="0" w:color="auto"/>
            </w:tcBorders>
            <w:shd w:val="clear" w:color="000000" w:fill="0D0D0D"/>
            <w:noWrap/>
            <w:vAlign w:val="bottom"/>
            <w:hideMark/>
          </w:tcPr>
          <w:p w14:paraId="57A4D600" w14:textId="4ECBFD93"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000000" w:fill="0D0D0D"/>
            <w:noWrap/>
            <w:vAlign w:val="bottom"/>
            <w:hideMark/>
          </w:tcPr>
          <w:p w14:paraId="69B2A373" w14:textId="02CBC05B"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4" w:space="0" w:color="auto"/>
              <w:right w:val="single" w:sz="4" w:space="0" w:color="auto"/>
            </w:tcBorders>
            <w:shd w:val="clear" w:color="auto" w:fill="auto"/>
            <w:noWrap/>
            <w:vAlign w:val="bottom"/>
            <w:hideMark/>
          </w:tcPr>
          <w:p w14:paraId="053570BC" w14:textId="5D9F0F4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860" w:type="dxa"/>
            <w:tcBorders>
              <w:top w:val="nil"/>
              <w:left w:val="nil"/>
              <w:bottom w:val="single" w:sz="4" w:space="0" w:color="auto"/>
              <w:right w:val="nil"/>
            </w:tcBorders>
            <w:shd w:val="clear" w:color="auto" w:fill="auto"/>
            <w:noWrap/>
            <w:vAlign w:val="bottom"/>
            <w:hideMark/>
          </w:tcPr>
          <w:p w14:paraId="6E329CBC" w14:textId="3A1983FD"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26B3BA3B" w14:textId="7FE95B0C"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1,608.50</w:t>
            </w:r>
          </w:p>
        </w:tc>
      </w:tr>
      <w:tr w:rsidR="00BB2F8A" w:rsidRPr="00BB2F8A" w14:paraId="076717F7" w14:textId="77777777" w:rsidTr="001819B6">
        <w:trPr>
          <w:trHeight w:val="300"/>
        </w:trPr>
        <w:tc>
          <w:tcPr>
            <w:tcW w:w="1691" w:type="dxa"/>
            <w:vMerge/>
            <w:tcBorders>
              <w:top w:val="nil"/>
              <w:left w:val="single" w:sz="8" w:space="0" w:color="auto"/>
              <w:bottom w:val="single" w:sz="8" w:space="0" w:color="000000"/>
              <w:right w:val="single" w:sz="4" w:space="0" w:color="auto"/>
            </w:tcBorders>
            <w:vAlign w:val="center"/>
            <w:hideMark/>
          </w:tcPr>
          <w:p w14:paraId="0043CD6C"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8" w:space="0" w:color="auto"/>
              <w:right w:val="single" w:sz="4" w:space="0" w:color="auto"/>
            </w:tcBorders>
            <w:shd w:val="clear" w:color="auto" w:fill="auto"/>
            <w:noWrap/>
            <w:vAlign w:val="bottom"/>
            <w:hideMark/>
          </w:tcPr>
          <w:p w14:paraId="442C4E13"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December to February 2023</w:t>
            </w:r>
          </w:p>
        </w:tc>
        <w:tc>
          <w:tcPr>
            <w:tcW w:w="2540" w:type="dxa"/>
            <w:tcBorders>
              <w:top w:val="nil"/>
              <w:left w:val="nil"/>
              <w:bottom w:val="single" w:sz="8" w:space="0" w:color="auto"/>
              <w:right w:val="single" w:sz="4" w:space="0" w:color="auto"/>
            </w:tcBorders>
            <w:shd w:val="clear" w:color="000000" w:fill="0D0D0D"/>
            <w:noWrap/>
            <w:vAlign w:val="bottom"/>
            <w:hideMark/>
          </w:tcPr>
          <w:p w14:paraId="72BBFE53" w14:textId="3656C8E8"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8" w:space="0" w:color="auto"/>
              <w:right w:val="single" w:sz="4" w:space="0" w:color="auto"/>
            </w:tcBorders>
            <w:shd w:val="clear" w:color="000000" w:fill="0D0D0D"/>
            <w:noWrap/>
            <w:vAlign w:val="bottom"/>
            <w:hideMark/>
          </w:tcPr>
          <w:p w14:paraId="3118B30F" w14:textId="3A663556"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8" w:space="0" w:color="auto"/>
              <w:right w:val="single" w:sz="4" w:space="0" w:color="auto"/>
            </w:tcBorders>
            <w:shd w:val="clear" w:color="000000" w:fill="0D0D0D"/>
            <w:noWrap/>
            <w:vAlign w:val="bottom"/>
            <w:hideMark/>
          </w:tcPr>
          <w:p w14:paraId="1B9A1880" w14:textId="7E1901E6"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60" w:type="dxa"/>
            <w:tcBorders>
              <w:top w:val="nil"/>
              <w:left w:val="nil"/>
              <w:bottom w:val="single" w:sz="8" w:space="0" w:color="auto"/>
              <w:right w:val="nil"/>
            </w:tcBorders>
            <w:shd w:val="clear" w:color="auto" w:fill="auto"/>
            <w:noWrap/>
            <w:vAlign w:val="bottom"/>
            <w:hideMark/>
          </w:tcPr>
          <w:p w14:paraId="01AA9602" w14:textId="206AD6B5"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0849845A" w14:textId="3DBBA4DC"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804.25</w:t>
            </w:r>
          </w:p>
        </w:tc>
      </w:tr>
      <w:tr w:rsidR="00BB2F8A" w:rsidRPr="00BB2F8A" w14:paraId="3AAB5C8F" w14:textId="77777777" w:rsidTr="001819B6">
        <w:trPr>
          <w:trHeight w:val="300"/>
        </w:trPr>
        <w:tc>
          <w:tcPr>
            <w:tcW w:w="1691" w:type="dxa"/>
            <w:tcBorders>
              <w:top w:val="nil"/>
              <w:left w:val="nil"/>
              <w:bottom w:val="nil"/>
              <w:right w:val="nil"/>
            </w:tcBorders>
            <w:shd w:val="clear" w:color="auto" w:fill="auto"/>
            <w:noWrap/>
            <w:vAlign w:val="center"/>
            <w:hideMark/>
          </w:tcPr>
          <w:p w14:paraId="190F09BC" w14:textId="77777777" w:rsidR="00BB2F8A" w:rsidRPr="00BB2F8A" w:rsidRDefault="00BB2F8A" w:rsidP="00BB2F8A">
            <w:pPr>
              <w:spacing w:after="0" w:line="240" w:lineRule="auto"/>
              <w:rPr>
                <w:rFonts w:ascii="Calibri" w:eastAsia="Times New Roman" w:hAnsi="Calibri" w:cs="Calibri"/>
                <w:color w:val="000000"/>
                <w:sz w:val="16"/>
                <w:szCs w:val="16"/>
                <w:lang w:eastAsia="en-GB"/>
              </w:rPr>
            </w:pPr>
          </w:p>
        </w:tc>
        <w:tc>
          <w:tcPr>
            <w:tcW w:w="3503" w:type="dxa"/>
            <w:tcBorders>
              <w:top w:val="nil"/>
              <w:left w:val="nil"/>
              <w:bottom w:val="nil"/>
              <w:right w:val="nil"/>
            </w:tcBorders>
            <w:shd w:val="clear" w:color="auto" w:fill="auto"/>
            <w:noWrap/>
            <w:vAlign w:val="bottom"/>
            <w:hideMark/>
          </w:tcPr>
          <w:p w14:paraId="70F51F8E" w14:textId="77777777" w:rsidR="00BB2F8A" w:rsidRPr="00BB2F8A" w:rsidRDefault="00BB2F8A" w:rsidP="00BB2F8A">
            <w:pPr>
              <w:spacing w:after="0" w:line="240" w:lineRule="auto"/>
              <w:rPr>
                <w:rFonts w:ascii="Times New Roman" w:eastAsia="Times New Roman" w:hAnsi="Times New Roman" w:cs="Times New Roman"/>
                <w:sz w:val="16"/>
                <w:szCs w:val="16"/>
                <w:lang w:eastAsia="en-GB"/>
              </w:rPr>
            </w:pPr>
          </w:p>
        </w:tc>
        <w:tc>
          <w:tcPr>
            <w:tcW w:w="2540" w:type="dxa"/>
            <w:tcBorders>
              <w:top w:val="nil"/>
              <w:left w:val="nil"/>
              <w:bottom w:val="nil"/>
              <w:right w:val="nil"/>
            </w:tcBorders>
            <w:shd w:val="clear" w:color="auto" w:fill="auto"/>
            <w:noWrap/>
            <w:vAlign w:val="bottom"/>
            <w:hideMark/>
          </w:tcPr>
          <w:p w14:paraId="06C86E9E"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820" w:type="dxa"/>
            <w:tcBorders>
              <w:top w:val="nil"/>
              <w:left w:val="nil"/>
              <w:bottom w:val="nil"/>
              <w:right w:val="nil"/>
            </w:tcBorders>
            <w:shd w:val="clear" w:color="auto" w:fill="auto"/>
            <w:noWrap/>
            <w:vAlign w:val="bottom"/>
            <w:hideMark/>
          </w:tcPr>
          <w:p w14:paraId="524869C1"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760" w:type="dxa"/>
            <w:tcBorders>
              <w:top w:val="nil"/>
              <w:left w:val="nil"/>
              <w:bottom w:val="nil"/>
              <w:right w:val="nil"/>
            </w:tcBorders>
            <w:shd w:val="clear" w:color="auto" w:fill="auto"/>
            <w:noWrap/>
            <w:vAlign w:val="bottom"/>
            <w:hideMark/>
          </w:tcPr>
          <w:p w14:paraId="3F0E0075"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860" w:type="dxa"/>
            <w:tcBorders>
              <w:top w:val="nil"/>
              <w:left w:val="nil"/>
              <w:bottom w:val="nil"/>
              <w:right w:val="nil"/>
            </w:tcBorders>
            <w:shd w:val="clear" w:color="auto" w:fill="auto"/>
            <w:noWrap/>
            <w:vAlign w:val="bottom"/>
            <w:hideMark/>
          </w:tcPr>
          <w:p w14:paraId="17345F33"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620" w:type="dxa"/>
            <w:tcBorders>
              <w:top w:val="nil"/>
              <w:left w:val="nil"/>
              <w:bottom w:val="nil"/>
              <w:right w:val="nil"/>
            </w:tcBorders>
            <w:shd w:val="clear" w:color="auto" w:fill="auto"/>
            <w:noWrap/>
            <w:vAlign w:val="bottom"/>
            <w:hideMark/>
          </w:tcPr>
          <w:p w14:paraId="4F34E112"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r>
      <w:tr w:rsidR="00F40644" w:rsidRPr="00BB2F8A" w14:paraId="784C8EAB" w14:textId="77777777" w:rsidTr="001819B6">
        <w:trPr>
          <w:trHeight w:val="290"/>
        </w:trPr>
        <w:tc>
          <w:tcPr>
            <w:tcW w:w="16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0ABECD" w14:textId="77777777"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 </w:t>
            </w:r>
          </w:p>
        </w:tc>
        <w:tc>
          <w:tcPr>
            <w:tcW w:w="3503" w:type="dxa"/>
            <w:tcBorders>
              <w:top w:val="single" w:sz="8" w:space="0" w:color="auto"/>
              <w:left w:val="nil"/>
              <w:bottom w:val="single" w:sz="4" w:space="0" w:color="auto"/>
              <w:right w:val="single" w:sz="4" w:space="0" w:color="auto"/>
            </w:tcBorders>
            <w:shd w:val="clear" w:color="auto" w:fill="auto"/>
            <w:noWrap/>
            <w:vAlign w:val="bottom"/>
            <w:hideMark/>
          </w:tcPr>
          <w:p w14:paraId="4646AB0B" w14:textId="77777777"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Arrival Period</w:t>
            </w:r>
          </w:p>
        </w:tc>
        <w:tc>
          <w:tcPr>
            <w:tcW w:w="2540" w:type="dxa"/>
            <w:tcBorders>
              <w:top w:val="single" w:sz="8" w:space="0" w:color="auto"/>
              <w:left w:val="nil"/>
              <w:bottom w:val="single" w:sz="4" w:space="0" w:color="auto"/>
              <w:right w:val="single" w:sz="4" w:space="0" w:color="auto"/>
            </w:tcBorders>
            <w:shd w:val="clear" w:color="auto" w:fill="auto"/>
            <w:noWrap/>
            <w:vAlign w:val="bottom"/>
            <w:hideMark/>
          </w:tcPr>
          <w:p w14:paraId="205C5C84" w14:textId="77777777" w:rsidR="00F40644" w:rsidRDefault="00F40644" w:rsidP="00EE553B">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Q1</w:t>
            </w:r>
            <w:r>
              <w:rPr>
                <w:rFonts w:ascii="Calibri" w:eastAsia="Times New Roman" w:hAnsi="Calibri" w:cs="Calibri"/>
                <w:color w:val="000000"/>
                <w:lang w:eastAsia="en-GB"/>
              </w:rPr>
              <w:t xml:space="preserve"> Mar - May</w:t>
            </w:r>
          </w:p>
          <w:p w14:paraId="201CA668" w14:textId="1255FE0F" w:rsidR="00F40644" w:rsidRPr="00BB2F8A" w:rsidRDefault="00F40644" w:rsidP="00B32CB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w:t>
            </w:r>
            <w:r w:rsidRPr="00BB2F8A">
              <w:rPr>
                <w:rFonts w:ascii="Calibri" w:eastAsia="Times New Roman" w:hAnsi="Calibri" w:cs="Calibri"/>
                <w:color w:val="000000"/>
                <w:lang w:eastAsia="en-GB"/>
              </w:rPr>
              <w:t>ayment</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14:paraId="0F466339" w14:textId="77777777" w:rsidR="00F40644" w:rsidRDefault="00F40644" w:rsidP="00EE553B">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Q2 </w:t>
            </w:r>
            <w:r>
              <w:rPr>
                <w:rFonts w:ascii="Calibri" w:eastAsia="Times New Roman" w:hAnsi="Calibri" w:cs="Calibri"/>
                <w:color w:val="000000"/>
                <w:lang w:eastAsia="en-GB"/>
              </w:rPr>
              <w:t>April - Aug</w:t>
            </w:r>
          </w:p>
          <w:p w14:paraId="06289C5B" w14:textId="1A594DFD"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Payment</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5F0307DA" w14:textId="103EEB97"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Q3</w:t>
            </w:r>
            <w:r>
              <w:rPr>
                <w:rFonts w:ascii="Calibri" w:eastAsia="Times New Roman" w:hAnsi="Calibri" w:cs="Calibri"/>
                <w:color w:val="000000"/>
                <w:lang w:eastAsia="en-GB"/>
              </w:rPr>
              <w:t xml:space="preserve"> Sept - Nov</w:t>
            </w:r>
            <w:r w:rsidRPr="00BB2F8A">
              <w:rPr>
                <w:rFonts w:ascii="Calibri" w:eastAsia="Times New Roman" w:hAnsi="Calibri" w:cs="Calibri"/>
                <w:color w:val="000000"/>
                <w:lang w:eastAsia="en-GB"/>
              </w:rPr>
              <w:t xml:space="preserve"> Payment</w:t>
            </w:r>
          </w:p>
        </w:tc>
        <w:tc>
          <w:tcPr>
            <w:tcW w:w="1860" w:type="dxa"/>
            <w:tcBorders>
              <w:top w:val="single" w:sz="8" w:space="0" w:color="auto"/>
              <w:left w:val="nil"/>
              <w:bottom w:val="single" w:sz="4" w:space="0" w:color="auto"/>
              <w:right w:val="nil"/>
            </w:tcBorders>
            <w:shd w:val="clear" w:color="auto" w:fill="auto"/>
            <w:noWrap/>
            <w:vAlign w:val="bottom"/>
            <w:hideMark/>
          </w:tcPr>
          <w:p w14:paraId="12512A43" w14:textId="3EE51A35"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Q4 </w:t>
            </w:r>
            <w:r>
              <w:rPr>
                <w:rFonts w:ascii="Calibri" w:eastAsia="Times New Roman" w:hAnsi="Calibri" w:cs="Calibri"/>
                <w:color w:val="000000"/>
                <w:lang w:eastAsia="en-GB"/>
              </w:rPr>
              <w:t xml:space="preserve">Dec – Feb </w:t>
            </w:r>
            <w:r w:rsidRPr="00BB2F8A">
              <w:rPr>
                <w:rFonts w:ascii="Calibri" w:eastAsia="Times New Roman" w:hAnsi="Calibri" w:cs="Calibri"/>
                <w:color w:val="000000"/>
                <w:lang w:eastAsia="en-GB"/>
              </w:rPr>
              <w:t>Payment</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ECF0DAD" w14:textId="30B89E17"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Total Payable</w:t>
            </w:r>
          </w:p>
        </w:tc>
      </w:tr>
      <w:tr w:rsidR="00BB2F8A" w:rsidRPr="00BB2F8A" w14:paraId="54D379DB" w14:textId="77777777" w:rsidTr="001819B6">
        <w:trPr>
          <w:trHeight w:val="290"/>
        </w:trPr>
        <w:tc>
          <w:tcPr>
            <w:tcW w:w="16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0A3ABF"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Key stage 3 (Years 7 – 9)</w:t>
            </w:r>
          </w:p>
        </w:tc>
        <w:tc>
          <w:tcPr>
            <w:tcW w:w="3503" w:type="dxa"/>
            <w:tcBorders>
              <w:top w:val="nil"/>
              <w:left w:val="nil"/>
              <w:bottom w:val="single" w:sz="4" w:space="0" w:color="auto"/>
              <w:right w:val="single" w:sz="4" w:space="0" w:color="auto"/>
            </w:tcBorders>
            <w:shd w:val="clear" w:color="auto" w:fill="auto"/>
            <w:noWrap/>
            <w:vAlign w:val="bottom"/>
            <w:hideMark/>
          </w:tcPr>
          <w:p w14:paraId="1F7C7859"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March to May 2022</w:t>
            </w:r>
          </w:p>
        </w:tc>
        <w:tc>
          <w:tcPr>
            <w:tcW w:w="2540" w:type="dxa"/>
            <w:tcBorders>
              <w:top w:val="nil"/>
              <w:left w:val="nil"/>
              <w:bottom w:val="single" w:sz="4" w:space="0" w:color="auto"/>
              <w:right w:val="single" w:sz="4" w:space="0" w:color="auto"/>
            </w:tcBorders>
            <w:shd w:val="clear" w:color="auto" w:fill="auto"/>
            <w:noWrap/>
            <w:vAlign w:val="bottom"/>
            <w:hideMark/>
          </w:tcPr>
          <w:p w14:paraId="0521A256" w14:textId="77777777"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820" w:type="dxa"/>
            <w:tcBorders>
              <w:top w:val="nil"/>
              <w:left w:val="nil"/>
              <w:bottom w:val="single" w:sz="4" w:space="0" w:color="auto"/>
              <w:right w:val="single" w:sz="4" w:space="0" w:color="auto"/>
            </w:tcBorders>
            <w:shd w:val="clear" w:color="auto" w:fill="auto"/>
            <w:noWrap/>
            <w:vAlign w:val="bottom"/>
            <w:hideMark/>
          </w:tcPr>
          <w:p w14:paraId="765D72F6" w14:textId="2667828E"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760" w:type="dxa"/>
            <w:tcBorders>
              <w:top w:val="nil"/>
              <w:left w:val="nil"/>
              <w:bottom w:val="single" w:sz="4" w:space="0" w:color="auto"/>
              <w:right w:val="single" w:sz="4" w:space="0" w:color="auto"/>
            </w:tcBorders>
            <w:shd w:val="clear" w:color="auto" w:fill="auto"/>
            <w:noWrap/>
            <w:vAlign w:val="bottom"/>
            <w:hideMark/>
          </w:tcPr>
          <w:p w14:paraId="7A1050A2" w14:textId="6C083EE0"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860" w:type="dxa"/>
            <w:tcBorders>
              <w:top w:val="nil"/>
              <w:left w:val="nil"/>
              <w:bottom w:val="single" w:sz="4" w:space="0" w:color="auto"/>
              <w:right w:val="nil"/>
            </w:tcBorders>
            <w:shd w:val="clear" w:color="auto" w:fill="auto"/>
            <w:noWrap/>
            <w:vAlign w:val="bottom"/>
            <w:hideMark/>
          </w:tcPr>
          <w:p w14:paraId="5EF24E10" w14:textId="1361078C"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10A9955B" w14:textId="0C6B3631"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4,536.00</w:t>
            </w:r>
          </w:p>
        </w:tc>
      </w:tr>
      <w:tr w:rsidR="00BB2F8A" w:rsidRPr="00BB2F8A" w14:paraId="4CC55D64"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4FF6B06E"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45DB5F0D"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June to August 2022</w:t>
            </w:r>
          </w:p>
        </w:tc>
        <w:tc>
          <w:tcPr>
            <w:tcW w:w="2540" w:type="dxa"/>
            <w:tcBorders>
              <w:top w:val="nil"/>
              <w:left w:val="nil"/>
              <w:bottom w:val="single" w:sz="4" w:space="0" w:color="auto"/>
              <w:right w:val="single" w:sz="4" w:space="0" w:color="auto"/>
            </w:tcBorders>
            <w:shd w:val="clear" w:color="000000" w:fill="0D0D0D"/>
            <w:noWrap/>
            <w:vAlign w:val="bottom"/>
          </w:tcPr>
          <w:p w14:paraId="0BDA4F91" w14:textId="6F325EC1"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auto" w:fill="auto"/>
            <w:noWrap/>
            <w:vAlign w:val="bottom"/>
            <w:hideMark/>
          </w:tcPr>
          <w:p w14:paraId="512B18FC" w14:textId="080AAF59"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760" w:type="dxa"/>
            <w:tcBorders>
              <w:top w:val="nil"/>
              <w:left w:val="nil"/>
              <w:bottom w:val="single" w:sz="4" w:space="0" w:color="auto"/>
              <w:right w:val="single" w:sz="4" w:space="0" w:color="auto"/>
            </w:tcBorders>
            <w:shd w:val="clear" w:color="auto" w:fill="auto"/>
            <w:noWrap/>
            <w:vAlign w:val="bottom"/>
            <w:hideMark/>
          </w:tcPr>
          <w:p w14:paraId="7D6A54EF" w14:textId="1CF5AFFE"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860" w:type="dxa"/>
            <w:tcBorders>
              <w:top w:val="nil"/>
              <w:left w:val="nil"/>
              <w:bottom w:val="single" w:sz="4" w:space="0" w:color="auto"/>
              <w:right w:val="nil"/>
            </w:tcBorders>
            <w:shd w:val="clear" w:color="auto" w:fill="auto"/>
            <w:noWrap/>
            <w:vAlign w:val="bottom"/>
            <w:hideMark/>
          </w:tcPr>
          <w:p w14:paraId="73494969" w14:textId="186D61C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5D923342" w14:textId="374C6269"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3,402.00</w:t>
            </w:r>
          </w:p>
        </w:tc>
      </w:tr>
      <w:tr w:rsidR="00BB2F8A" w:rsidRPr="00BB2F8A" w14:paraId="1ADAD18E"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4A9CAD2E"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77AC8E1B"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September to November 2022</w:t>
            </w:r>
          </w:p>
        </w:tc>
        <w:tc>
          <w:tcPr>
            <w:tcW w:w="2540" w:type="dxa"/>
            <w:tcBorders>
              <w:top w:val="nil"/>
              <w:left w:val="nil"/>
              <w:bottom w:val="single" w:sz="4" w:space="0" w:color="auto"/>
              <w:right w:val="single" w:sz="4" w:space="0" w:color="auto"/>
            </w:tcBorders>
            <w:shd w:val="clear" w:color="000000" w:fill="0D0D0D"/>
            <w:noWrap/>
            <w:vAlign w:val="bottom"/>
          </w:tcPr>
          <w:p w14:paraId="31D49E31" w14:textId="7A69FC0F"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000000" w:fill="0D0D0D"/>
            <w:noWrap/>
            <w:vAlign w:val="bottom"/>
            <w:hideMark/>
          </w:tcPr>
          <w:p w14:paraId="44C5855B" w14:textId="0868378E"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4" w:space="0" w:color="auto"/>
              <w:right w:val="single" w:sz="4" w:space="0" w:color="auto"/>
            </w:tcBorders>
            <w:shd w:val="clear" w:color="auto" w:fill="auto"/>
            <w:noWrap/>
            <w:vAlign w:val="bottom"/>
            <w:hideMark/>
          </w:tcPr>
          <w:p w14:paraId="6899DFCE" w14:textId="2127FB29"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860" w:type="dxa"/>
            <w:tcBorders>
              <w:top w:val="nil"/>
              <w:left w:val="nil"/>
              <w:bottom w:val="single" w:sz="4" w:space="0" w:color="auto"/>
              <w:right w:val="nil"/>
            </w:tcBorders>
            <w:shd w:val="clear" w:color="auto" w:fill="auto"/>
            <w:noWrap/>
            <w:vAlign w:val="bottom"/>
            <w:hideMark/>
          </w:tcPr>
          <w:p w14:paraId="722BC351" w14:textId="15DB0CB1"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13F0E055" w14:textId="0F82B001"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2,268.00</w:t>
            </w:r>
          </w:p>
        </w:tc>
      </w:tr>
      <w:tr w:rsidR="00BB2F8A" w:rsidRPr="00BB2F8A" w14:paraId="2A56EEDB" w14:textId="77777777" w:rsidTr="001819B6">
        <w:trPr>
          <w:trHeight w:val="300"/>
        </w:trPr>
        <w:tc>
          <w:tcPr>
            <w:tcW w:w="1691" w:type="dxa"/>
            <w:vMerge/>
            <w:tcBorders>
              <w:top w:val="nil"/>
              <w:left w:val="single" w:sz="8" w:space="0" w:color="auto"/>
              <w:bottom w:val="single" w:sz="8" w:space="0" w:color="000000"/>
              <w:right w:val="single" w:sz="4" w:space="0" w:color="auto"/>
            </w:tcBorders>
            <w:vAlign w:val="center"/>
            <w:hideMark/>
          </w:tcPr>
          <w:p w14:paraId="57A602A9"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8" w:space="0" w:color="auto"/>
              <w:right w:val="single" w:sz="4" w:space="0" w:color="auto"/>
            </w:tcBorders>
            <w:shd w:val="clear" w:color="auto" w:fill="auto"/>
            <w:noWrap/>
            <w:vAlign w:val="bottom"/>
            <w:hideMark/>
          </w:tcPr>
          <w:p w14:paraId="16C0F194"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December to February 2023</w:t>
            </w:r>
          </w:p>
        </w:tc>
        <w:tc>
          <w:tcPr>
            <w:tcW w:w="2540" w:type="dxa"/>
            <w:tcBorders>
              <w:top w:val="nil"/>
              <w:left w:val="nil"/>
              <w:bottom w:val="single" w:sz="8" w:space="0" w:color="auto"/>
              <w:right w:val="single" w:sz="4" w:space="0" w:color="auto"/>
            </w:tcBorders>
            <w:shd w:val="clear" w:color="000000" w:fill="0D0D0D"/>
            <w:noWrap/>
            <w:vAlign w:val="bottom"/>
          </w:tcPr>
          <w:p w14:paraId="030068A0" w14:textId="4EF7C5A8"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8" w:space="0" w:color="auto"/>
              <w:right w:val="single" w:sz="4" w:space="0" w:color="auto"/>
            </w:tcBorders>
            <w:shd w:val="clear" w:color="000000" w:fill="0D0D0D"/>
            <w:noWrap/>
            <w:vAlign w:val="bottom"/>
          </w:tcPr>
          <w:p w14:paraId="41BA7BE5" w14:textId="0658869E"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8" w:space="0" w:color="auto"/>
              <w:right w:val="single" w:sz="4" w:space="0" w:color="auto"/>
            </w:tcBorders>
            <w:shd w:val="clear" w:color="000000" w:fill="0D0D0D"/>
            <w:noWrap/>
            <w:vAlign w:val="bottom"/>
          </w:tcPr>
          <w:p w14:paraId="2A2FDBC2" w14:textId="1266A1C4"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60" w:type="dxa"/>
            <w:tcBorders>
              <w:top w:val="nil"/>
              <w:left w:val="nil"/>
              <w:bottom w:val="single" w:sz="8" w:space="0" w:color="auto"/>
              <w:right w:val="nil"/>
            </w:tcBorders>
            <w:shd w:val="clear" w:color="auto" w:fill="auto"/>
            <w:noWrap/>
            <w:vAlign w:val="bottom"/>
            <w:hideMark/>
          </w:tcPr>
          <w:p w14:paraId="090E6A9C" w14:textId="23A6D7B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091CA0F1" w14:textId="52ADD6DA"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1,134.00</w:t>
            </w:r>
          </w:p>
        </w:tc>
      </w:tr>
      <w:tr w:rsidR="00BB2F8A" w:rsidRPr="00BB2F8A" w14:paraId="4BFF39B0" w14:textId="77777777" w:rsidTr="001819B6">
        <w:trPr>
          <w:trHeight w:val="300"/>
        </w:trPr>
        <w:tc>
          <w:tcPr>
            <w:tcW w:w="1691" w:type="dxa"/>
            <w:tcBorders>
              <w:top w:val="nil"/>
              <w:left w:val="nil"/>
              <w:bottom w:val="nil"/>
              <w:right w:val="nil"/>
            </w:tcBorders>
            <w:shd w:val="clear" w:color="auto" w:fill="auto"/>
            <w:noWrap/>
            <w:vAlign w:val="center"/>
            <w:hideMark/>
          </w:tcPr>
          <w:p w14:paraId="64160EF7" w14:textId="77777777" w:rsidR="00BB2F8A" w:rsidRPr="00BB2F8A" w:rsidRDefault="00BB2F8A" w:rsidP="00BB2F8A">
            <w:pPr>
              <w:spacing w:after="0" w:line="240" w:lineRule="auto"/>
              <w:rPr>
                <w:rFonts w:ascii="Calibri" w:eastAsia="Times New Roman" w:hAnsi="Calibri" w:cs="Calibri"/>
                <w:color w:val="000000"/>
                <w:sz w:val="16"/>
                <w:szCs w:val="16"/>
                <w:lang w:eastAsia="en-GB"/>
              </w:rPr>
            </w:pPr>
          </w:p>
        </w:tc>
        <w:tc>
          <w:tcPr>
            <w:tcW w:w="3503" w:type="dxa"/>
            <w:tcBorders>
              <w:top w:val="nil"/>
              <w:left w:val="nil"/>
              <w:bottom w:val="nil"/>
              <w:right w:val="nil"/>
            </w:tcBorders>
            <w:shd w:val="clear" w:color="auto" w:fill="auto"/>
            <w:noWrap/>
            <w:vAlign w:val="bottom"/>
            <w:hideMark/>
          </w:tcPr>
          <w:p w14:paraId="3D48F78B" w14:textId="77777777" w:rsidR="00BB2F8A" w:rsidRPr="00BB2F8A" w:rsidRDefault="00BB2F8A" w:rsidP="00BB2F8A">
            <w:pPr>
              <w:spacing w:after="0" w:line="240" w:lineRule="auto"/>
              <w:rPr>
                <w:rFonts w:ascii="Times New Roman" w:eastAsia="Times New Roman" w:hAnsi="Times New Roman" w:cs="Times New Roman"/>
                <w:sz w:val="16"/>
                <w:szCs w:val="16"/>
                <w:lang w:eastAsia="en-GB"/>
              </w:rPr>
            </w:pPr>
          </w:p>
        </w:tc>
        <w:tc>
          <w:tcPr>
            <w:tcW w:w="2540" w:type="dxa"/>
            <w:tcBorders>
              <w:top w:val="nil"/>
              <w:left w:val="nil"/>
              <w:bottom w:val="nil"/>
              <w:right w:val="nil"/>
            </w:tcBorders>
            <w:shd w:val="clear" w:color="auto" w:fill="auto"/>
            <w:noWrap/>
            <w:vAlign w:val="bottom"/>
            <w:hideMark/>
          </w:tcPr>
          <w:p w14:paraId="334D52DC"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820" w:type="dxa"/>
            <w:tcBorders>
              <w:top w:val="nil"/>
              <w:left w:val="nil"/>
              <w:bottom w:val="nil"/>
              <w:right w:val="nil"/>
            </w:tcBorders>
            <w:shd w:val="clear" w:color="auto" w:fill="auto"/>
            <w:noWrap/>
            <w:vAlign w:val="bottom"/>
            <w:hideMark/>
          </w:tcPr>
          <w:p w14:paraId="387080B6"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760" w:type="dxa"/>
            <w:tcBorders>
              <w:top w:val="nil"/>
              <w:left w:val="nil"/>
              <w:bottom w:val="nil"/>
              <w:right w:val="nil"/>
            </w:tcBorders>
            <w:shd w:val="clear" w:color="auto" w:fill="auto"/>
            <w:noWrap/>
            <w:vAlign w:val="bottom"/>
            <w:hideMark/>
          </w:tcPr>
          <w:p w14:paraId="4F06A833"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860" w:type="dxa"/>
            <w:tcBorders>
              <w:top w:val="nil"/>
              <w:left w:val="nil"/>
              <w:bottom w:val="nil"/>
              <w:right w:val="nil"/>
            </w:tcBorders>
            <w:shd w:val="clear" w:color="auto" w:fill="auto"/>
            <w:noWrap/>
            <w:vAlign w:val="bottom"/>
            <w:hideMark/>
          </w:tcPr>
          <w:p w14:paraId="4D6F7D73"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620" w:type="dxa"/>
            <w:tcBorders>
              <w:top w:val="nil"/>
              <w:left w:val="nil"/>
              <w:bottom w:val="nil"/>
              <w:right w:val="nil"/>
            </w:tcBorders>
            <w:shd w:val="clear" w:color="auto" w:fill="auto"/>
            <w:noWrap/>
            <w:vAlign w:val="bottom"/>
            <w:hideMark/>
          </w:tcPr>
          <w:p w14:paraId="492C8536"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r>
      <w:tr w:rsidR="00F40644" w:rsidRPr="00BB2F8A" w14:paraId="46D1290C" w14:textId="77777777" w:rsidTr="001819B6">
        <w:trPr>
          <w:trHeight w:val="290"/>
        </w:trPr>
        <w:tc>
          <w:tcPr>
            <w:tcW w:w="16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55034F" w14:textId="77777777"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 </w:t>
            </w:r>
          </w:p>
        </w:tc>
        <w:tc>
          <w:tcPr>
            <w:tcW w:w="3503" w:type="dxa"/>
            <w:tcBorders>
              <w:top w:val="single" w:sz="8" w:space="0" w:color="auto"/>
              <w:left w:val="nil"/>
              <w:bottom w:val="single" w:sz="4" w:space="0" w:color="auto"/>
              <w:right w:val="single" w:sz="4" w:space="0" w:color="auto"/>
            </w:tcBorders>
            <w:shd w:val="clear" w:color="auto" w:fill="auto"/>
            <w:noWrap/>
            <w:vAlign w:val="bottom"/>
            <w:hideMark/>
          </w:tcPr>
          <w:p w14:paraId="6D6CB687" w14:textId="77777777"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Arrival Period</w:t>
            </w:r>
          </w:p>
        </w:tc>
        <w:tc>
          <w:tcPr>
            <w:tcW w:w="2540" w:type="dxa"/>
            <w:tcBorders>
              <w:top w:val="single" w:sz="8" w:space="0" w:color="auto"/>
              <w:left w:val="nil"/>
              <w:bottom w:val="single" w:sz="4" w:space="0" w:color="auto"/>
              <w:right w:val="single" w:sz="4" w:space="0" w:color="auto"/>
            </w:tcBorders>
            <w:shd w:val="clear" w:color="auto" w:fill="auto"/>
            <w:noWrap/>
            <w:vAlign w:val="bottom"/>
            <w:hideMark/>
          </w:tcPr>
          <w:p w14:paraId="23483730" w14:textId="77777777" w:rsidR="00F40644" w:rsidRDefault="00F40644" w:rsidP="00EE553B">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Q1</w:t>
            </w:r>
            <w:r>
              <w:rPr>
                <w:rFonts w:ascii="Calibri" w:eastAsia="Times New Roman" w:hAnsi="Calibri" w:cs="Calibri"/>
                <w:color w:val="000000"/>
                <w:lang w:eastAsia="en-GB"/>
              </w:rPr>
              <w:t xml:space="preserve"> Mar - May</w:t>
            </w:r>
          </w:p>
          <w:p w14:paraId="7EA34828" w14:textId="247A041B" w:rsidR="00F40644" w:rsidRPr="00BB2F8A" w:rsidRDefault="00F40644" w:rsidP="00B32CB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w:t>
            </w:r>
            <w:r w:rsidRPr="00BB2F8A">
              <w:rPr>
                <w:rFonts w:ascii="Calibri" w:eastAsia="Times New Roman" w:hAnsi="Calibri" w:cs="Calibri"/>
                <w:color w:val="000000"/>
                <w:lang w:eastAsia="en-GB"/>
              </w:rPr>
              <w:t>ayment</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14:paraId="2444E6CB" w14:textId="77777777" w:rsidR="00F40644" w:rsidRDefault="00F40644" w:rsidP="00EE553B">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Q2 </w:t>
            </w:r>
            <w:r>
              <w:rPr>
                <w:rFonts w:ascii="Calibri" w:eastAsia="Times New Roman" w:hAnsi="Calibri" w:cs="Calibri"/>
                <w:color w:val="000000"/>
                <w:lang w:eastAsia="en-GB"/>
              </w:rPr>
              <w:t>April - Aug</w:t>
            </w:r>
          </w:p>
          <w:p w14:paraId="5914351E" w14:textId="0256BD1C"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Payment</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7746B336" w14:textId="569C5473"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Q3</w:t>
            </w:r>
            <w:r>
              <w:rPr>
                <w:rFonts w:ascii="Calibri" w:eastAsia="Times New Roman" w:hAnsi="Calibri" w:cs="Calibri"/>
                <w:color w:val="000000"/>
                <w:lang w:eastAsia="en-GB"/>
              </w:rPr>
              <w:t xml:space="preserve"> Sept - Nov</w:t>
            </w:r>
            <w:r w:rsidRPr="00BB2F8A">
              <w:rPr>
                <w:rFonts w:ascii="Calibri" w:eastAsia="Times New Roman" w:hAnsi="Calibri" w:cs="Calibri"/>
                <w:color w:val="000000"/>
                <w:lang w:eastAsia="en-GB"/>
              </w:rPr>
              <w:t xml:space="preserve"> Payment</w:t>
            </w:r>
          </w:p>
        </w:tc>
        <w:tc>
          <w:tcPr>
            <w:tcW w:w="1860" w:type="dxa"/>
            <w:tcBorders>
              <w:top w:val="single" w:sz="8" w:space="0" w:color="auto"/>
              <w:left w:val="nil"/>
              <w:bottom w:val="single" w:sz="4" w:space="0" w:color="auto"/>
              <w:right w:val="nil"/>
            </w:tcBorders>
            <w:shd w:val="clear" w:color="auto" w:fill="auto"/>
            <w:noWrap/>
            <w:vAlign w:val="bottom"/>
            <w:hideMark/>
          </w:tcPr>
          <w:p w14:paraId="6E560D5C" w14:textId="050E7BC3"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Q4 </w:t>
            </w:r>
            <w:r>
              <w:rPr>
                <w:rFonts w:ascii="Calibri" w:eastAsia="Times New Roman" w:hAnsi="Calibri" w:cs="Calibri"/>
                <w:color w:val="000000"/>
                <w:lang w:eastAsia="en-GB"/>
              </w:rPr>
              <w:t xml:space="preserve">Dec – Feb </w:t>
            </w:r>
            <w:r w:rsidRPr="00BB2F8A">
              <w:rPr>
                <w:rFonts w:ascii="Calibri" w:eastAsia="Times New Roman" w:hAnsi="Calibri" w:cs="Calibri"/>
                <w:color w:val="000000"/>
                <w:lang w:eastAsia="en-GB"/>
              </w:rPr>
              <w:t>Payment</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4B6E3E" w14:textId="52DDFB75"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Total Payable</w:t>
            </w:r>
          </w:p>
        </w:tc>
      </w:tr>
      <w:tr w:rsidR="00BB2F8A" w:rsidRPr="00BB2F8A" w14:paraId="45552DF4" w14:textId="77777777" w:rsidTr="001819B6">
        <w:trPr>
          <w:trHeight w:val="290"/>
        </w:trPr>
        <w:tc>
          <w:tcPr>
            <w:tcW w:w="16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1209A2F"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Key stage 4 (Years 10-11)</w:t>
            </w:r>
          </w:p>
        </w:tc>
        <w:tc>
          <w:tcPr>
            <w:tcW w:w="3503" w:type="dxa"/>
            <w:tcBorders>
              <w:top w:val="nil"/>
              <w:left w:val="nil"/>
              <w:bottom w:val="single" w:sz="4" w:space="0" w:color="auto"/>
              <w:right w:val="single" w:sz="4" w:space="0" w:color="auto"/>
            </w:tcBorders>
            <w:shd w:val="clear" w:color="auto" w:fill="auto"/>
            <w:noWrap/>
            <w:vAlign w:val="bottom"/>
            <w:hideMark/>
          </w:tcPr>
          <w:p w14:paraId="3AC7DB56"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March to May 2022</w:t>
            </w:r>
          </w:p>
        </w:tc>
        <w:tc>
          <w:tcPr>
            <w:tcW w:w="2540" w:type="dxa"/>
            <w:tcBorders>
              <w:top w:val="nil"/>
              <w:left w:val="nil"/>
              <w:bottom w:val="single" w:sz="4" w:space="0" w:color="auto"/>
              <w:right w:val="single" w:sz="4" w:space="0" w:color="auto"/>
            </w:tcBorders>
            <w:shd w:val="clear" w:color="auto" w:fill="auto"/>
            <w:noWrap/>
            <w:vAlign w:val="bottom"/>
            <w:hideMark/>
          </w:tcPr>
          <w:p w14:paraId="2036390D" w14:textId="77777777"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20" w:type="dxa"/>
            <w:tcBorders>
              <w:top w:val="nil"/>
              <w:left w:val="nil"/>
              <w:bottom w:val="single" w:sz="4" w:space="0" w:color="auto"/>
              <w:right w:val="single" w:sz="4" w:space="0" w:color="auto"/>
            </w:tcBorders>
            <w:shd w:val="clear" w:color="auto" w:fill="auto"/>
            <w:noWrap/>
            <w:vAlign w:val="bottom"/>
            <w:hideMark/>
          </w:tcPr>
          <w:p w14:paraId="5B377426" w14:textId="287A1A50"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760" w:type="dxa"/>
            <w:tcBorders>
              <w:top w:val="nil"/>
              <w:left w:val="nil"/>
              <w:bottom w:val="single" w:sz="4" w:space="0" w:color="auto"/>
              <w:right w:val="single" w:sz="4" w:space="0" w:color="auto"/>
            </w:tcBorders>
            <w:shd w:val="clear" w:color="auto" w:fill="auto"/>
            <w:noWrap/>
            <w:vAlign w:val="bottom"/>
            <w:hideMark/>
          </w:tcPr>
          <w:p w14:paraId="796FBA21" w14:textId="6F503B90"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60" w:type="dxa"/>
            <w:tcBorders>
              <w:top w:val="nil"/>
              <w:left w:val="nil"/>
              <w:bottom w:val="single" w:sz="4" w:space="0" w:color="auto"/>
              <w:right w:val="nil"/>
            </w:tcBorders>
            <w:shd w:val="clear" w:color="auto" w:fill="auto"/>
            <w:noWrap/>
            <w:vAlign w:val="bottom"/>
            <w:hideMark/>
          </w:tcPr>
          <w:p w14:paraId="4E448C82" w14:textId="7409EE9B"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36CF2F45" w14:textId="3C13B4B5"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5,112.00</w:t>
            </w:r>
          </w:p>
        </w:tc>
      </w:tr>
      <w:tr w:rsidR="00BB2F8A" w:rsidRPr="00BB2F8A" w14:paraId="4B4B3691"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6FD0B2D8"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3469F411"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June to August 2022</w:t>
            </w:r>
          </w:p>
        </w:tc>
        <w:tc>
          <w:tcPr>
            <w:tcW w:w="2540" w:type="dxa"/>
            <w:tcBorders>
              <w:top w:val="nil"/>
              <w:left w:val="nil"/>
              <w:bottom w:val="single" w:sz="4" w:space="0" w:color="auto"/>
              <w:right w:val="single" w:sz="4" w:space="0" w:color="auto"/>
            </w:tcBorders>
            <w:shd w:val="clear" w:color="000000" w:fill="0D0D0D"/>
            <w:noWrap/>
            <w:vAlign w:val="bottom"/>
            <w:hideMark/>
          </w:tcPr>
          <w:p w14:paraId="5FC503B8" w14:textId="5B085C18"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auto" w:fill="auto"/>
            <w:noWrap/>
            <w:vAlign w:val="bottom"/>
            <w:hideMark/>
          </w:tcPr>
          <w:p w14:paraId="242C97FE" w14:textId="6AC1E47A"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760" w:type="dxa"/>
            <w:tcBorders>
              <w:top w:val="nil"/>
              <w:left w:val="nil"/>
              <w:bottom w:val="single" w:sz="4" w:space="0" w:color="auto"/>
              <w:right w:val="single" w:sz="4" w:space="0" w:color="auto"/>
            </w:tcBorders>
            <w:shd w:val="clear" w:color="auto" w:fill="auto"/>
            <w:noWrap/>
            <w:vAlign w:val="bottom"/>
            <w:hideMark/>
          </w:tcPr>
          <w:p w14:paraId="5DCF9F32" w14:textId="2B66FB68"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60" w:type="dxa"/>
            <w:tcBorders>
              <w:top w:val="nil"/>
              <w:left w:val="nil"/>
              <w:bottom w:val="single" w:sz="4" w:space="0" w:color="auto"/>
              <w:right w:val="nil"/>
            </w:tcBorders>
            <w:shd w:val="clear" w:color="auto" w:fill="auto"/>
            <w:noWrap/>
            <w:vAlign w:val="bottom"/>
            <w:hideMark/>
          </w:tcPr>
          <w:p w14:paraId="011B3CA6" w14:textId="28C78B8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0CF26CF9" w14:textId="0A400C6A"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3,834.00</w:t>
            </w:r>
          </w:p>
        </w:tc>
      </w:tr>
      <w:tr w:rsidR="00BB2F8A" w:rsidRPr="00BB2F8A" w14:paraId="501D19D4"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1F79412A"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09C5BA62"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September to November 2022</w:t>
            </w:r>
          </w:p>
        </w:tc>
        <w:tc>
          <w:tcPr>
            <w:tcW w:w="2540" w:type="dxa"/>
            <w:tcBorders>
              <w:top w:val="nil"/>
              <w:left w:val="nil"/>
              <w:bottom w:val="single" w:sz="4" w:space="0" w:color="auto"/>
              <w:right w:val="single" w:sz="4" w:space="0" w:color="auto"/>
            </w:tcBorders>
            <w:shd w:val="clear" w:color="000000" w:fill="0D0D0D"/>
            <w:noWrap/>
            <w:vAlign w:val="bottom"/>
            <w:hideMark/>
          </w:tcPr>
          <w:p w14:paraId="018BF814" w14:textId="56290098"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000000" w:fill="0D0D0D"/>
            <w:noWrap/>
            <w:vAlign w:val="bottom"/>
            <w:hideMark/>
          </w:tcPr>
          <w:p w14:paraId="71B8CCC3" w14:textId="7E08A8FF"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4" w:space="0" w:color="auto"/>
              <w:right w:val="single" w:sz="4" w:space="0" w:color="auto"/>
            </w:tcBorders>
            <w:shd w:val="clear" w:color="auto" w:fill="auto"/>
            <w:noWrap/>
            <w:vAlign w:val="bottom"/>
            <w:hideMark/>
          </w:tcPr>
          <w:p w14:paraId="59944934" w14:textId="2D48406A"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60" w:type="dxa"/>
            <w:tcBorders>
              <w:top w:val="nil"/>
              <w:left w:val="nil"/>
              <w:bottom w:val="single" w:sz="4" w:space="0" w:color="auto"/>
              <w:right w:val="nil"/>
            </w:tcBorders>
            <w:shd w:val="clear" w:color="auto" w:fill="auto"/>
            <w:noWrap/>
            <w:vAlign w:val="bottom"/>
            <w:hideMark/>
          </w:tcPr>
          <w:p w14:paraId="28C938B8" w14:textId="47DBED10"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4A91A2BD" w14:textId="5B224E63"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2,556.00</w:t>
            </w:r>
          </w:p>
        </w:tc>
      </w:tr>
      <w:tr w:rsidR="00BB2F8A" w:rsidRPr="00BB2F8A" w14:paraId="1DE772EB" w14:textId="77777777" w:rsidTr="001819B6">
        <w:trPr>
          <w:trHeight w:val="300"/>
        </w:trPr>
        <w:tc>
          <w:tcPr>
            <w:tcW w:w="1691" w:type="dxa"/>
            <w:vMerge/>
            <w:tcBorders>
              <w:top w:val="nil"/>
              <w:left w:val="single" w:sz="8" w:space="0" w:color="auto"/>
              <w:bottom w:val="single" w:sz="8" w:space="0" w:color="000000"/>
              <w:right w:val="single" w:sz="4" w:space="0" w:color="auto"/>
            </w:tcBorders>
            <w:vAlign w:val="center"/>
            <w:hideMark/>
          </w:tcPr>
          <w:p w14:paraId="0774CCCF"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8" w:space="0" w:color="auto"/>
              <w:right w:val="single" w:sz="4" w:space="0" w:color="auto"/>
            </w:tcBorders>
            <w:shd w:val="clear" w:color="auto" w:fill="auto"/>
            <w:noWrap/>
            <w:vAlign w:val="bottom"/>
            <w:hideMark/>
          </w:tcPr>
          <w:p w14:paraId="26E1DF2B"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December to February 2023</w:t>
            </w:r>
          </w:p>
        </w:tc>
        <w:tc>
          <w:tcPr>
            <w:tcW w:w="2540" w:type="dxa"/>
            <w:tcBorders>
              <w:top w:val="nil"/>
              <w:left w:val="nil"/>
              <w:bottom w:val="single" w:sz="8" w:space="0" w:color="auto"/>
              <w:right w:val="single" w:sz="4" w:space="0" w:color="auto"/>
            </w:tcBorders>
            <w:shd w:val="clear" w:color="000000" w:fill="0D0D0D"/>
            <w:noWrap/>
            <w:vAlign w:val="bottom"/>
            <w:hideMark/>
          </w:tcPr>
          <w:p w14:paraId="423B306A" w14:textId="4E26020F"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8" w:space="0" w:color="auto"/>
              <w:right w:val="single" w:sz="4" w:space="0" w:color="auto"/>
            </w:tcBorders>
            <w:shd w:val="clear" w:color="000000" w:fill="0D0D0D"/>
            <w:noWrap/>
            <w:vAlign w:val="bottom"/>
            <w:hideMark/>
          </w:tcPr>
          <w:p w14:paraId="73BD2A65" w14:textId="2329C7FA"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8" w:space="0" w:color="auto"/>
              <w:right w:val="single" w:sz="4" w:space="0" w:color="auto"/>
            </w:tcBorders>
            <w:shd w:val="clear" w:color="000000" w:fill="0D0D0D"/>
            <w:noWrap/>
            <w:vAlign w:val="bottom"/>
            <w:hideMark/>
          </w:tcPr>
          <w:p w14:paraId="3B10675E" w14:textId="14E98316"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60" w:type="dxa"/>
            <w:tcBorders>
              <w:top w:val="nil"/>
              <w:left w:val="nil"/>
              <w:bottom w:val="single" w:sz="8" w:space="0" w:color="auto"/>
              <w:right w:val="nil"/>
            </w:tcBorders>
            <w:shd w:val="clear" w:color="auto" w:fill="auto"/>
            <w:noWrap/>
            <w:vAlign w:val="bottom"/>
            <w:hideMark/>
          </w:tcPr>
          <w:p w14:paraId="7F5A5298" w14:textId="5D569E7C"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471F7C11" w14:textId="5F0ADD6D"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r>
      <w:tr w:rsidR="00BB2F8A" w:rsidRPr="00BB2F8A" w14:paraId="690CDBDB" w14:textId="77777777" w:rsidTr="001819B6">
        <w:trPr>
          <w:trHeight w:val="300"/>
        </w:trPr>
        <w:tc>
          <w:tcPr>
            <w:tcW w:w="1691" w:type="dxa"/>
            <w:tcBorders>
              <w:top w:val="nil"/>
              <w:left w:val="nil"/>
              <w:bottom w:val="nil"/>
              <w:right w:val="nil"/>
            </w:tcBorders>
            <w:shd w:val="clear" w:color="auto" w:fill="auto"/>
            <w:noWrap/>
            <w:vAlign w:val="center"/>
            <w:hideMark/>
          </w:tcPr>
          <w:p w14:paraId="53305392" w14:textId="77777777" w:rsidR="00BB2F8A" w:rsidRPr="00BB2F8A" w:rsidRDefault="00BB2F8A" w:rsidP="00BB2F8A">
            <w:pPr>
              <w:spacing w:after="0" w:line="240" w:lineRule="auto"/>
              <w:rPr>
                <w:rFonts w:ascii="Calibri" w:eastAsia="Times New Roman" w:hAnsi="Calibri" w:cs="Calibri"/>
                <w:color w:val="000000"/>
                <w:sz w:val="16"/>
                <w:szCs w:val="16"/>
                <w:lang w:eastAsia="en-GB"/>
              </w:rPr>
            </w:pPr>
          </w:p>
        </w:tc>
        <w:tc>
          <w:tcPr>
            <w:tcW w:w="3503" w:type="dxa"/>
            <w:tcBorders>
              <w:top w:val="nil"/>
              <w:left w:val="nil"/>
              <w:bottom w:val="nil"/>
              <w:right w:val="nil"/>
            </w:tcBorders>
            <w:shd w:val="clear" w:color="auto" w:fill="auto"/>
            <w:noWrap/>
            <w:vAlign w:val="bottom"/>
            <w:hideMark/>
          </w:tcPr>
          <w:p w14:paraId="0002FCB5" w14:textId="77777777" w:rsidR="00BB2F8A" w:rsidRPr="00BB2F8A" w:rsidRDefault="00BB2F8A" w:rsidP="00BB2F8A">
            <w:pPr>
              <w:spacing w:after="0" w:line="240" w:lineRule="auto"/>
              <w:rPr>
                <w:rFonts w:ascii="Times New Roman" w:eastAsia="Times New Roman" w:hAnsi="Times New Roman" w:cs="Times New Roman"/>
                <w:sz w:val="16"/>
                <w:szCs w:val="16"/>
                <w:lang w:eastAsia="en-GB"/>
              </w:rPr>
            </w:pPr>
          </w:p>
        </w:tc>
        <w:tc>
          <w:tcPr>
            <w:tcW w:w="2540" w:type="dxa"/>
            <w:tcBorders>
              <w:top w:val="nil"/>
              <w:left w:val="nil"/>
              <w:bottom w:val="nil"/>
              <w:right w:val="nil"/>
            </w:tcBorders>
            <w:shd w:val="clear" w:color="auto" w:fill="auto"/>
            <w:noWrap/>
            <w:vAlign w:val="bottom"/>
            <w:hideMark/>
          </w:tcPr>
          <w:p w14:paraId="0DA5581D"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820" w:type="dxa"/>
            <w:tcBorders>
              <w:top w:val="nil"/>
              <w:left w:val="nil"/>
              <w:bottom w:val="nil"/>
              <w:right w:val="nil"/>
            </w:tcBorders>
            <w:shd w:val="clear" w:color="auto" w:fill="auto"/>
            <w:noWrap/>
            <w:vAlign w:val="bottom"/>
            <w:hideMark/>
          </w:tcPr>
          <w:p w14:paraId="1B321865"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760" w:type="dxa"/>
            <w:tcBorders>
              <w:top w:val="nil"/>
              <w:left w:val="nil"/>
              <w:bottom w:val="nil"/>
              <w:right w:val="nil"/>
            </w:tcBorders>
            <w:shd w:val="clear" w:color="auto" w:fill="auto"/>
            <w:noWrap/>
            <w:vAlign w:val="bottom"/>
            <w:hideMark/>
          </w:tcPr>
          <w:p w14:paraId="6BDEA368"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860" w:type="dxa"/>
            <w:tcBorders>
              <w:top w:val="nil"/>
              <w:left w:val="nil"/>
              <w:bottom w:val="nil"/>
              <w:right w:val="nil"/>
            </w:tcBorders>
            <w:shd w:val="clear" w:color="auto" w:fill="auto"/>
            <w:noWrap/>
            <w:vAlign w:val="bottom"/>
            <w:hideMark/>
          </w:tcPr>
          <w:p w14:paraId="572FC4A1"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c>
          <w:tcPr>
            <w:tcW w:w="1620" w:type="dxa"/>
            <w:tcBorders>
              <w:top w:val="nil"/>
              <w:left w:val="nil"/>
              <w:bottom w:val="nil"/>
              <w:right w:val="nil"/>
            </w:tcBorders>
            <w:shd w:val="clear" w:color="auto" w:fill="auto"/>
            <w:noWrap/>
            <w:vAlign w:val="bottom"/>
            <w:hideMark/>
          </w:tcPr>
          <w:p w14:paraId="5E972FAD" w14:textId="77777777" w:rsidR="00BB2F8A" w:rsidRPr="00BB2F8A" w:rsidRDefault="00BB2F8A" w:rsidP="00B32CB8">
            <w:pPr>
              <w:spacing w:after="0" w:line="240" w:lineRule="auto"/>
              <w:jc w:val="center"/>
              <w:rPr>
                <w:rFonts w:ascii="Times New Roman" w:eastAsia="Times New Roman" w:hAnsi="Times New Roman" w:cs="Times New Roman"/>
                <w:sz w:val="16"/>
                <w:szCs w:val="16"/>
                <w:lang w:eastAsia="en-GB"/>
              </w:rPr>
            </w:pPr>
          </w:p>
        </w:tc>
      </w:tr>
      <w:tr w:rsidR="00F40644" w:rsidRPr="00BB2F8A" w14:paraId="17823440" w14:textId="77777777" w:rsidTr="001819B6">
        <w:trPr>
          <w:trHeight w:val="290"/>
        </w:trPr>
        <w:tc>
          <w:tcPr>
            <w:tcW w:w="16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5B62DC" w14:textId="77777777"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 </w:t>
            </w:r>
          </w:p>
        </w:tc>
        <w:tc>
          <w:tcPr>
            <w:tcW w:w="3503" w:type="dxa"/>
            <w:tcBorders>
              <w:top w:val="single" w:sz="8" w:space="0" w:color="auto"/>
              <w:left w:val="nil"/>
              <w:bottom w:val="single" w:sz="4" w:space="0" w:color="auto"/>
              <w:right w:val="single" w:sz="4" w:space="0" w:color="auto"/>
            </w:tcBorders>
            <w:shd w:val="clear" w:color="auto" w:fill="auto"/>
            <w:noWrap/>
            <w:vAlign w:val="bottom"/>
            <w:hideMark/>
          </w:tcPr>
          <w:p w14:paraId="25EC66E4" w14:textId="77777777"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Arrival Period</w:t>
            </w:r>
          </w:p>
        </w:tc>
        <w:tc>
          <w:tcPr>
            <w:tcW w:w="2540" w:type="dxa"/>
            <w:tcBorders>
              <w:top w:val="single" w:sz="8" w:space="0" w:color="auto"/>
              <w:left w:val="nil"/>
              <w:bottom w:val="single" w:sz="4" w:space="0" w:color="auto"/>
              <w:right w:val="single" w:sz="4" w:space="0" w:color="auto"/>
            </w:tcBorders>
            <w:shd w:val="clear" w:color="auto" w:fill="auto"/>
            <w:noWrap/>
            <w:vAlign w:val="bottom"/>
            <w:hideMark/>
          </w:tcPr>
          <w:p w14:paraId="2BC786E9" w14:textId="77777777" w:rsidR="00F40644" w:rsidRDefault="00F40644" w:rsidP="00EE553B">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Q1</w:t>
            </w:r>
            <w:r>
              <w:rPr>
                <w:rFonts w:ascii="Calibri" w:eastAsia="Times New Roman" w:hAnsi="Calibri" w:cs="Calibri"/>
                <w:color w:val="000000"/>
                <w:lang w:eastAsia="en-GB"/>
              </w:rPr>
              <w:t xml:space="preserve"> Mar - May</w:t>
            </w:r>
          </w:p>
          <w:p w14:paraId="793411EA" w14:textId="208F72C9" w:rsidR="00F40644" w:rsidRPr="00BB2F8A" w:rsidRDefault="00F40644" w:rsidP="00B32CB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w:t>
            </w:r>
            <w:r w:rsidRPr="00BB2F8A">
              <w:rPr>
                <w:rFonts w:ascii="Calibri" w:eastAsia="Times New Roman" w:hAnsi="Calibri" w:cs="Calibri"/>
                <w:color w:val="000000"/>
                <w:lang w:eastAsia="en-GB"/>
              </w:rPr>
              <w:t>ayment</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14:paraId="5D98A3CB" w14:textId="77777777" w:rsidR="00F40644" w:rsidRDefault="00F40644" w:rsidP="00EE553B">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Q2 </w:t>
            </w:r>
            <w:r>
              <w:rPr>
                <w:rFonts w:ascii="Calibri" w:eastAsia="Times New Roman" w:hAnsi="Calibri" w:cs="Calibri"/>
                <w:color w:val="000000"/>
                <w:lang w:eastAsia="en-GB"/>
              </w:rPr>
              <w:t>April - Aug</w:t>
            </w:r>
          </w:p>
          <w:p w14:paraId="5DA03D16" w14:textId="43D098D5"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Payment</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6754513A" w14:textId="481D0D6D"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Q3</w:t>
            </w:r>
            <w:r>
              <w:rPr>
                <w:rFonts w:ascii="Calibri" w:eastAsia="Times New Roman" w:hAnsi="Calibri" w:cs="Calibri"/>
                <w:color w:val="000000"/>
                <w:lang w:eastAsia="en-GB"/>
              </w:rPr>
              <w:t xml:space="preserve"> Sept - Nov</w:t>
            </w:r>
            <w:r w:rsidRPr="00BB2F8A">
              <w:rPr>
                <w:rFonts w:ascii="Calibri" w:eastAsia="Times New Roman" w:hAnsi="Calibri" w:cs="Calibri"/>
                <w:color w:val="000000"/>
                <w:lang w:eastAsia="en-GB"/>
              </w:rPr>
              <w:t xml:space="preserve"> Payment</w:t>
            </w:r>
          </w:p>
        </w:tc>
        <w:tc>
          <w:tcPr>
            <w:tcW w:w="1860" w:type="dxa"/>
            <w:tcBorders>
              <w:top w:val="single" w:sz="8" w:space="0" w:color="auto"/>
              <w:left w:val="nil"/>
              <w:bottom w:val="single" w:sz="4" w:space="0" w:color="auto"/>
              <w:right w:val="nil"/>
            </w:tcBorders>
            <w:shd w:val="clear" w:color="auto" w:fill="auto"/>
            <w:noWrap/>
            <w:vAlign w:val="bottom"/>
            <w:hideMark/>
          </w:tcPr>
          <w:p w14:paraId="28BD0EEA" w14:textId="10478946" w:rsidR="00F40644" w:rsidRPr="00BB2F8A" w:rsidRDefault="00F40644"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 xml:space="preserve">Q4 </w:t>
            </w:r>
            <w:r>
              <w:rPr>
                <w:rFonts w:ascii="Calibri" w:eastAsia="Times New Roman" w:hAnsi="Calibri" w:cs="Calibri"/>
                <w:color w:val="000000"/>
                <w:lang w:eastAsia="en-GB"/>
              </w:rPr>
              <w:t xml:space="preserve">Dec – Feb </w:t>
            </w:r>
            <w:r w:rsidRPr="00BB2F8A">
              <w:rPr>
                <w:rFonts w:ascii="Calibri" w:eastAsia="Times New Roman" w:hAnsi="Calibri" w:cs="Calibri"/>
                <w:color w:val="000000"/>
                <w:lang w:eastAsia="en-GB"/>
              </w:rPr>
              <w:t>Payment</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7F1EF9C" w14:textId="29049AEF" w:rsidR="00F40644" w:rsidRPr="00BB2F8A" w:rsidRDefault="00F40644" w:rsidP="00B32CB8">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Total Payable</w:t>
            </w:r>
          </w:p>
        </w:tc>
      </w:tr>
      <w:tr w:rsidR="00BB2F8A" w:rsidRPr="00BB2F8A" w14:paraId="462F671A" w14:textId="77777777" w:rsidTr="001819B6">
        <w:trPr>
          <w:trHeight w:val="290"/>
        </w:trPr>
        <w:tc>
          <w:tcPr>
            <w:tcW w:w="16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1B4966"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Key stage 5 (Years 12-13)</w:t>
            </w:r>
          </w:p>
        </w:tc>
        <w:tc>
          <w:tcPr>
            <w:tcW w:w="3503" w:type="dxa"/>
            <w:tcBorders>
              <w:top w:val="nil"/>
              <w:left w:val="nil"/>
              <w:bottom w:val="single" w:sz="4" w:space="0" w:color="auto"/>
              <w:right w:val="single" w:sz="4" w:space="0" w:color="auto"/>
            </w:tcBorders>
            <w:shd w:val="clear" w:color="auto" w:fill="auto"/>
            <w:noWrap/>
            <w:vAlign w:val="bottom"/>
            <w:hideMark/>
          </w:tcPr>
          <w:p w14:paraId="26DBB934"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March to May 2022</w:t>
            </w:r>
          </w:p>
        </w:tc>
        <w:tc>
          <w:tcPr>
            <w:tcW w:w="2540" w:type="dxa"/>
            <w:tcBorders>
              <w:top w:val="nil"/>
              <w:left w:val="nil"/>
              <w:bottom w:val="single" w:sz="4" w:space="0" w:color="auto"/>
              <w:right w:val="single" w:sz="4" w:space="0" w:color="auto"/>
            </w:tcBorders>
            <w:shd w:val="clear" w:color="auto" w:fill="auto"/>
            <w:noWrap/>
            <w:vAlign w:val="bottom"/>
            <w:hideMark/>
          </w:tcPr>
          <w:p w14:paraId="565CD023" w14:textId="77777777"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20" w:type="dxa"/>
            <w:tcBorders>
              <w:top w:val="nil"/>
              <w:left w:val="nil"/>
              <w:bottom w:val="single" w:sz="4" w:space="0" w:color="auto"/>
              <w:right w:val="single" w:sz="4" w:space="0" w:color="auto"/>
            </w:tcBorders>
            <w:shd w:val="clear" w:color="auto" w:fill="auto"/>
            <w:noWrap/>
            <w:vAlign w:val="bottom"/>
            <w:hideMark/>
          </w:tcPr>
          <w:p w14:paraId="41A9BD29" w14:textId="543971A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760" w:type="dxa"/>
            <w:tcBorders>
              <w:top w:val="nil"/>
              <w:left w:val="nil"/>
              <w:bottom w:val="single" w:sz="4" w:space="0" w:color="auto"/>
              <w:right w:val="single" w:sz="4" w:space="0" w:color="auto"/>
            </w:tcBorders>
            <w:shd w:val="clear" w:color="auto" w:fill="auto"/>
            <w:noWrap/>
            <w:vAlign w:val="bottom"/>
            <w:hideMark/>
          </w:tcPr>
          <w:p w14:paraId="27CA9DB2" w14:textId="3AC97326"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60" w:type="dxa"/>
            <w:tcBorders>
              <w:top w:val="nil"/>
              <w:left w:val="nil"/>
              <w:bottom w:val="single" w:sz="4" w:space="0" w:color="auto"/>
              <w:right w:val="nil"/>
            </w:tcBorders>
            <w:shd w:val="clear" w:color="auto" w:fill="auto"/>
            <w:noWrap/>
            <w:vAlign w:val="bottom"/>
            <w:hideMark/>
          </w:tcPr>
          <w:p w14:paraId="23107A4D" w14:textId="5D535916"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4A309E22" w14:textId="618D8A7D"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5,112.00</w:t>
            </w:r>
          </w:p>
        </w:tc>
      </w:tr>
      <w:tr w:rsidR="00BB2F8A" w:rsidRPr="00BB2F8A" w14:paraId="0C7A3503"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239327BD"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5F684896"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June to August 2022</w:t>
            </w:r>
          </w:p>
        </w:tc>
        <w:tc>
          <w:tcPr>
            <w:tcW w:w="2540" w:type="dxa"/>
            <w:tcBorders>
              <w:top w:val="nil"/>
              <w:left w:val="nil"/>
              <w:bottom w:val="single" w:sz="4" w:space="0" w:color="auto"/>
              <w:right w:val="single" w:sz="4" w:space="0" w:color="auto"/>
            </w:tcBorders>
            <w:shd w:val="clear" w:color="000000" w:fill="0D0D0D"/>
            <w:noWrap/>
            <w:vAlign w:val="bottom"/>
            <w:hideMark/>
          </w:tcPr>
          <w:p w14:paraId="3EB594E8" w14:textId="0E06D406"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auto" w:fill="auto"/>
            <w:noWrap/>
            <w:vAlign w:val="bottom"/>
            <w:hideMark/>
          </w:tcPr>
          <w:p w14:paraId="571E7021" w14:textId="3700B243"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760" w:type="dxa"/>
            <w:tcBorders>
              <w:top w:val="nil"/>
              <w:left w:val="nil"/>
              <w:bottom w:val="single" w:sz="4" w:space="0" w:color="auto"/>
              <w:right w:val="single" w:sz="4" w:space="0" w:color="auto"/>
            </w:tcBorders>
            <w:shd w:val="clear" w:color="auto" w:fill="auto"/>
            <w:noWrap/>
            <w:vAlign w:val="bottom"/>
            <w:hideMark/>
          </w:tcPr>
          <w:p w14:paraId="45C098C0" w14:textId="30C3842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60" w:type="dxa"/>
            <w:tcBorders>
              <w:top w:val="nil"/>
              <w:left w:val="nil"/>
              <w:bottom w:val="single" w:sz="4" w:space="0" w:color="auto"/>
              <w:right w:val="nil"/>
            </w:tcBorders>
            <w:shd w:val="clear" w:color="auto" w:fill="auto"/>
            <w:noWrap/>
            <w:vAlign w:val="bottom"/>
            <w:hideMark/>
          </w:tcPr>
          <w:p w14:paraId="08B0D3C5" w14:textId="57B11DB6"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02B8F421" w14:textId="40CDB7A4"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3,834.00</w:t>
            </w:r>
          </w:p>
        </w:tc>
      </w:tr>
      <w:tr w:rsidR="00BB2F8A" w:rsidRPr="00BB2F8A" w14:paraId="49D87E81" w14:textId="77777777" w:rsidTr="001819B6">
        <w:trPr>
          <w:trHeight w:val="290"/>
        </w:trPr>
        <w:tc>
          <w:tcPr>
            <w:tcW w:w="1691" w:type="dxa"/>
            <w:vMerge/>
            <w:tcBorders>
              <w:top w:val="nil"/>
              <w:left w:val="single" w:sz="8" w:space="0" w:color="auto"/>
              <w:bottom w:val="single" w:sz="8" w:space="0" w:color="000000"/>
              <w:right w:val="single" w:sz="4" w:space="0" w:color="auto"/>
            </w:tcBorders>
            <w:vAlign w:val="center"/>
            <w:hideMark/>
          </w:tcPr>
          <w:p w14:paraId="47506F36"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4" w:space="0" w:color="auto"/>
              <w:right w:val="single" w:sz="4" w:space="0" w:color="auto"/>
            </w:tcBorders>
            <w:shd w:val="clear" w:color="auto" w:fill="auto"/>
            <w:noWrap/>
            <w:vAlign w:val="bottom"/>
            <w:hideMark/>
          </w:tcPr>
          <w:p w14:paraId="73C74126"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September to November 2022</w:t>
            </w:r>
          </w:p>
        </w:tc>
        <w:tc>
          <w:tcPr>
            <w:tcW w:w="2540" w:type="dxa"/>
            <w:tcBorders>
              <w:top w:val="nil"/>
              <w:left w:val="nil"/>
              <w:bottom w:val="single" w:sz="4" w:space="0" w:color="auto"/>
              <w:right w:val="single" w:sz="4" w:space="0" w:color="auto"/>
            </w:tcBorders>
            <w:shd w:val="clear" w:color="000000" w:fill="0D0D0D"/>
            <w:noWrap/>
            <w:vAlign w:val="bottom"/>
            <w:hideMark/>
          </w:tcPr>
          <w:p w14:paraId="3E1B37DB" w14:textId="2F0AF754"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4" w:space="0" w:color="auto"/>
              <w:right w:val="single" w:sz="4" w:space="0" w:color="auto"/>
            </w:tcBorders>
            <w:shd w:val="clear" w:color="000000" w:fill="0D0D0D"/>
            <w:noWrap/>
            <w:vAlign w:val="bottom"/>
            <w:hideMark/>
          </w:tcPr>
          <w:p w14:paraId="353A9983" w14:textId="52BF28CE"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4" w:space="0" w:color="auto"/>
              <w:right w:val="single" w:sz="4" w:space="0" w:color="auto"/>
            </w:tcBorders>
            <w:shd w:val="clear" w:color="auto" w:fill="auto"/>
            <w:noWrap/>
            <w:vAlign w:val="bottom"/>
            <w:hideMark/>
          </w:tcPr>
          <w:p w14:paraId="241FFEF9" w14:textId="0A8D5822"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860" w:type="dxa"/>
            <w:tcBorders>
              <w:top w:val="nil"/>
              <w:left w:val="nil"/>
              <w:bottom w:val="single" w:sz="4" w:space="0" w:color="auto"/>
              <w:right w:val="nil"/>
            </w:tcBorders>
            <w:shd w:val="clear" w:color="auto" w:fill="auto"/>
            <w:noWrap/>
            <w:vAlign w:val="bottom"/>
            <w:hideMark/>
          </w:tcPr>
          <w:p w14:paraId="7A855BC3" w14:textId="6B7AB60A"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691E48B7" w14:textId="5DA6857B"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2,556.00</w:t>
            </w:r>
          </w:p>
        </w:tc>
      </w:tr>
      <w:tr w:rsidR="00BB2F8A" w:rsidRPr="00BB2F8A" w14:paraId="566D8A87" w14:textId="77777777" w:rsidTr="001819B6">
        <w:trPr>
          <w:trHeight w:val="300"/>
        </w:trPr>
        <w:tc>
          <w:tcPr>
            <w:tcW w:w="1691" w:type="dxa"/>
            <w:vMerge/>
            <w:tcBorders>
              <w:top w:val="nil"/>
              <w:left w:val="single" w:sz="8" w:space="0" w:color="auto"/>
              <w:bottom w:val="single" w:sz="8" w:space="0" w:color="000000"/>
              <w:right w:val="single" w:sz="4" w:space="0" w:color="auto"/>
            </w:tcBorders>
            <w:vAlign w:val="center"/>
            <w:hideMark/>
          </w:tcPr>
          <w:p w14:paraId="1179F588" w14:textId="77777777" w:rsidR="00BB2F8A" w:rsidRPr="00BB2F8A" w:rsidRDefault="00BB2F8A" w:rsidP="00BB2F8A">
            <w:pPr>
              <w:spacing w:after="0" w:line="240" w:lineRule="auto"/>
              <w:rPr>
                <w:rFonts w:ascii="Calibri" w:eastAsia="Times New Roman" w:hAnsi="Calibri" w:cs="Calibri"/>
                <w:color w:val="000000"/>
                <w:lang w:eastAsia="en-GB"/>
              </w:rPr>
            </w:pPr>
          </w:p>
        </w:tc>
        <w:tc>
          <w:tcPr>
            <w:tcW w:w="3503" w:type="dxa"/>
            <w:tcBorders>
              <w:top w:val="nil"/>
              <w:left w:val="nil"/>
              <w:bottom w:val="single" w:sz="8" w:space="0" w:color="auto"/>
              <w:right w:val="single" w:sz="4" w:space="0" w:color="auto"/>
            </w:tcBorders>
            <w:shd w:val="clear" w:color="auto" w:fill="auto"/>
            <w:noWrap/>
            <w:vAlign w:val="bottom"/>
            <w:hideMark/>
          </w:tcPr>
          <w:p w14:paraId="0ECD0DA5" w14:textId="77777777" w:rsidR="00BB2F8A" w:rsidRPr="00BB2F8A" w:rsidRDefault="00BB2F8A" w:rsidP="00BB2F8A">
            <w:pPr>
              <w:spacing w:after="0" w:line="240" w:lineRule="auto"/>
              <w:rPr>
                <w:rFonts w:ascii="Calibri" w:eastAsia="Times New Roman" w:hAnsi="Calibri" w:cs="Calibri"/>
                <w:color w:val="000000"/>
                <w:lang w:eastAsia="en-GB"/>
              </w:rPr>
            </w:pPr>
            <w:r w:rsidRPr="00BB2F8A">
              <w:rPr>
                <w:rFonts w:ascii="Calibri" w:eastAsia="Times New Roman" w:hAnsi="Calibri" w:cs="Calibri"/>
                <w:color w:val="000000"/>
                <w:lang w:eastAsia="en-GB"/>
              </w:rPr>
              <w:t>December to February 2023</w:t>
            </w:r>
          </w:p>
        </w:tc>
        <w:tc>
          <w:tcPr>
            <w:tcW w:w="2540" w:type="dxa"/>
            <w:tcBorders>
              <w:top w:val="nil"/>
              <w:left w:val="nil"/>
              <w:bottom w:val="single" w:sz="8" w:space="0" w:color="auto"/>
              <w:right w:val="single" w:sz="4" w:space="0" w:color="auto"/>
            </w:tcBorders>
            <w:shd w:val="clear" w:color="000000" w:fill="0D0D0D"/>
            <w:noWrap/>
            <w:vAlign w:val="bottom"/>
            <w:hideMark/>
          </w:tcPr>
          <w:p w14:paraId="6B911EFF" w14:textId="585BB698"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20" w:type="dxa"/>
            <w:tcBorders>
              <w:top w:val="nil"/>
              <w:left w:val="nil"/>
              <w:bottom w:val="single" w:sz="8" w:space="0" w:color="auto"/>
              <w:right w:val="single" w:sz="4" w:space="0" w:color="auto"/>
            </w:tcBorders>
            <w:shd w:val="clear" w:color="000000" w:fill="0D0D0D"/>
            <w:noWrap/>
            <w:vAlign w:val="bottom"/>
            <w:hideMark/>
          </w:tcPr>
          <w:p w14:paraId="395F1559" w14:textId="5178C92C"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760" w:type="dxa"/>
            <w:tcBorders>
              <w:top w:val="nil"/>
              <w:left w:val="nil"/>
              <w:bottom w:val="single" w:sz="8" w:space="0" w:color="auto"/>
              <w:right w:val="single" w:sz="4" w:space="0" w:color="auto"/>
            </w:tcBorders>
            <w:shd w:val="clear" w:color="000000" w:fill="0D0D0D"/>
            <w:noWrap/>
            <w:vAlign w:val="bottom"/>
            <w:hideMark/>
          </w:tcPr>
          <w:p w14:paraId="0FC2C2CA" w14:textId="21CA82AA" w:rsidR="00BB2F8A" w:rsidRPr="00BB2F8A" w:rsidRDefault="00BB2F8A" w:rsidP="00B32CB8">
            <w:pPr>
              <w:spacing w:after="0" w:line="240" w:lineRule="auto"/>
              <w:jc w:val="center"/>
              <w:rPr>
                <w:rFonts w:ascii="Calibri" w:eastAsia="Times New Roman" w:hAnsi="Calibri" w:cs="Calibri"/>
                <w:color w:val="000000"/>
                <w:lang w:eastAsia="en-GB"/>
              </w:rPr>
            </w:pPr>
          </w:p>
        </w:tc>
        <w:tc>
          <w:tcPr>
            <w:tcW w:w="1860" w:type="dxa"/>
            <w:tcBorders>
              <w:top w:val="nil"/>
              <w:left w:val="nil"/>
              <w:bottom w:val="single" w:sz="8" w:space="0" w:color="auto"/>
              <w:right w:val="nil"/>
            </w:tcBorders>
            <w:shd w:val="clear" w:color="auto" w:fill="auto"/>
            <w:noWrap/>
            <w:vAlign w:val="bottom"/>
            <w:hideMark/>
          </w:tcPr>
          <w:p w14:paraId="3DB76F7D" w14:textId="710379E3"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413CD96A" w14:textId="2D67FA45" w:rsidR="00BB2F8A" w:rsidRPr="00BB2F8A" w:rsidRDefault="00BB2F8A" w:rsidP="00B32CB8">
            <w:pPr>
              <w:spacing w:after="0" w:line="240" w:lineRule="auto"/>
              <w:jc w:val="center"/>
              <w:rPr>
                <w:rFonts w:ascii="Calibri" w:eastAsia="Times New Roman" w:hAnsi="Calibri" w:cs="Calibri"/>
                <w:color w:val="000000"/>
                <w:lang w:eastAsia="en-GB"/>
              </w:rPr>
            </w:pPr>
            <w:r w:rsidRPr="00BB2F8A">
              <w:rPr>
                <w:rFonts w:ascii="Calibri" w:eastAsia="Times New Roman" w:hAnsi="Calibri" w:cs="Calibri"/>
                <w:color w:val="000000"/>
                <w:lang w:eastAsia="en-GB"/>
              </w:rPr>
              <w:t>1,278.00</w:t>
            </w:r>
          </w:p>
        </w:tc>
      </w:tr>
    </w:tbl>
    <w:p w14:paraId="43F9334D" w14:textId="3F83DA4B" w:rsidR="00B32CB8" w:rsidRDefault="00B32CB8" w:rsidP="00BB2F8A">
      <w:pPr>
        <w:spacing w:after="0" w:line="240" w:lineRule="auto"/>
        <w:rPr>
          <w:rFonts w:ascii="Arial" w:hAnsi="Arial" w:cs="Arial"/>
          <w:sz w:val="20"/>
          <w:szCs w:val="20"/>
        </w:rPr>
      </w:pPr>
      <w:r w:rsidRPr="00B96B90">
        <w:rPr>
          <w:rFonts w:ascii="Arial" w:hAnsi="Arial" w:cs="Arial"/>
          <w:sz w:val="20"/>
          <w:szCs w:val="20"/>
        </w:rPr>
        <w:t>Total payable assumes child remains in the same Key Stage for all quarters</w:t>
      </w:r>
      <w:r w:rsidR="007518A2" w:rsidRPr="00B96B90">
        <w:rPr>
          <w:rFonts w:ascii="Arial" w:hAnsi="Arial" w:cs="Arial"/>
          <w:sz w:val="20"/>
          <w:szCs w:val="20"/>
        </w:rPr>
        <w:t xml:space="preserve"> following arrival</w:t>
      </w:r>
    </w:p>
    <w:p w14:paraId="405A5646" w14:textId="77777777" w:rsidR="00B96B90" w:rsidRPr="00B96B90" w:rsidRDefault="00B96B90" w:rsidP="00BB2F8A">
      <w:pPr>
        <w:spacing w:after="0" w:line="240" w:lineRule="auto"/>
        <w:rPr>
          <w:rFonts w:ascii="Arial" w:hAnsi="Arial" w:cs="Arial"/>
          <w:sz w:val="20"/>
          <w:szCs w:val="20"/>
        </w:rPr>
      </w:pPr>
    </w:p>
    <w:sectPr w:rsidR="00B96B90" w:rsidRPr="00B96B90" w:rsidSect="00B96B9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751F" w14:textId="77777777" w:rsidR="001819B6" w:rsidRDefault="001819B6" w:rsidP="001819B6">
      <w:pPr>
        <w:spacing w:after="0" w:line="240" w:lineRule="auto"/>
      </w:pPr>
      <w:r>
        <w:separator/>
      </w:r>
    </w:p>
  </w:endnote>
  <w:endnote w:type="continuationSeparator" w:id="0">
    <w:p w14:paraId="075E3D2F" w14:textId="77777777" w:rsidR="001819B6" w:rsidRDefault="001819B6" w:rsidP="0018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49CE" w14:textId="77777777" w:rsidR="001819B6" w:rsidRDefault="001819B6" w:rsidP="001819B6">
      <w:pPr>
        <w:spacing w:after="0" w:line="240" w:lineRule="auto"/>
      </w:pPr>
      <w:r>
        <w:separator/>
      </w:r>
    </w:p>
  </w:footnote>
  <w:footnote w:type="continuationSeparator" w:id="0">
    <w:p w14:paraId="4561377B" w14:textId="77777777" w:rsidR="001819B6" w:rsidRDefault="001819B6" w:rsidP="0018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16A2" w14:textId="7FBB82B6" w:rsidR="00B96B90" w:rsidRPr="00B96B90" w:rsidRDefault="00B96B90" w:rsidP="00B96B90">
    <w:pPr>
      <w:pStyle w:val="Header"/>
      <w:jc w:val="right"/>
      <w:rPr>
        <w:b/>
        <w:bCs/>
      </w:rPr>
    </w:pPr>
    <w:r w:rsidRPr="00B96B90">
      <w:rPr>
        <w:b/>
        <w:bCs/>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6EB"/>
    <w:multiLevelType w:val="multilevel"/>
    <w:tmpl w:val="3266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318D5"/>
    <w:multiLevelType w:val="hybridMultilevel"/>
    <w:tmpl w:val="033C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B29C2"/>
    <w:multiLevelType w:val="multilevel"/>
    <w:tmpl w:val="52D2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F"/>
    <w:rsid w:val="00135E74"/>
    <w:rsid w:val="00143614"/>
    <w:rsid w:val="001819B6"/>
    <w:rsid w:val="003448E6"/>
    <w:rsid w:val="00362A3D"/>
    <w:rsid w:val="00393316"/>
    <w:rsid w:val="003F02DF"/>
    <w:rsid w:val="003F2876"/>
    <w:rsid w:val="004259BD"/>
    <w:rsid w:val="004613F4"/>
    <w:rsid w:val="004E08B8"/>
    <w:rsid w:val="00596A72"/>
    <w:rsid w:val="00645774"/>
    <w:rsid w:val="0071118F"/>
    <w:rsid w:val="007518A2"/>
    <w:rsid w:val="00792AE1"/>
    <w:rsid w:val="00886329"/>
    <w:rsid w:val="008B258A"/>
    <w:rsid w:val="0092583B"/>
    <w:rsid w:val="009D389F"/>
    <w:rsid w:val="00A9654F"/>
    <w:rsid w:val="00AF611C"/>
    <w:rsid w:val="00B32CB8"/>
    <w:rsid w:val="00B33A62"/>
    <w:rsid w:val="00B831F9"/>
    <w:rsid w:val="00B96B90"/>
    <w:rsid w:val="00BB2F8A"/>
    <w:rsid w:val="00C20DB9"/>
    <w:rsid w:val="00C576BF"/>
    <w:rsid w:val="00C5782D"/>
    <w:rsid w:val="00D77875"/>
    <w:rsid w:val="00E9034F"/>
    <w:rsid w:val="00ED49E2"/>
    <w:rsid w:val="00EF7B8F"/>
    <w:rsid w:val="00F40644"/>
    <w:rsid w:val="00F7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94A3"/>
  <w15:chartTrackingRefBased/>
  <w15:docId w15:val="{9C4F1D61-E7EE-4316-B429-BA6AD732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9BD"/>
    <w:pPr>
      <w:ind w:left="720"/>
      <w:contextualSpacing/>
    </w:pPr>
  </w:style>
  <w:style w:type="character" w:styleId="CommentReference">
    <w:name w:val="annotation reference"/>
    <w:basedOn w:val="DefaultParagraphFont"/>
    <w:uiPriority w:val="99"/>
    <w:semiHidden/>
    <w:unhideWhenUsed/>
    <w:rsid w:val="003448E6"/>
    <w:rPr>
      <w:sz w:val="16"/>
      <w:szCs w:val="16"/>
    </w:rPr>
  </w:style>
  <w:style w:type="paragraph" w:styleId="CommentText">
    <w:name w:val="annotation text"/>
    <w:basedOn w:val="Normal"/>
    <w:link w:val="CommentTextChar"/>
    <w:uiPriority w:val="99"/>
    <w:semiHidden/>
    <w:unhideWhenUsed/>
    <w:rsid w:val="003448E6"/>
    <w:pPr>
      <w:spacing w:line="240" w:lineRule="auto"/>
    </w:pPr>
    <w:rPr>
      <w:sz w:val="20"/>
      <w:szCs w:val="20"/>
    </w:rPr>
  </w:style>
  <w:style w:type="character" w:customStyle="1" w:styleId="CommentTextChar">
    <w:name w:val="Comment Text Char"/>
    <w:basedOn w:val="DefaultParagraphFont"/>
    <w:link w:val="CommentText"/>
    <w:uiPriority w:val="99"/>
    <w:semiHidden/>
    <w:rsid w:val="003448E6"/>
    <w:rPr>
      <w:sz w:val="20"/>
      <w:szCs w:val="20"/>
    </w:rPr>
  </w:style>
  <w:style w:type="paragraph" w:styleId="CommentSubject">
    <w:name w:val="annotation subject"/>
    <w:basedOn w:val="CommentText"/>
    <w:next w:val="CommentText"/>
    <w:link w:val="CommentSubjectChar"/>
    <w:uiPriority w:val="99"/>
    <w:semiHidden/>
    <w:unhideWhenUsed/>
    <w:rsid w:val="003448E6"/>
    <w:rPr>
      <w:b/>
      <w:bCs/>
    </w:rPr>
  </w:style>
  <w:style w:type="character" w:customStyle="1" w:styleId="CommentSubjectChar">
    <w:name w:val="Comment Subject Char"/>
    <w:basedOn w:val="CommentTextChar"/>
    <w:link w:val="CommentSubject"/>
    <w:uiPriority w:val="99"/>
    <w:semiHidden/>
    <w:rsid w:val="003448E6"/>
    <w:rPr>
      <w:b/>
      <w:bCs/>
      <w:sz w:val="20"/>
      <w:szCs w:val="20"/>
    </w:rPr>
  </w:style>
  <w:style w:type="paragraph" w:styleId="Header">
    <w:name w:val="header"/>
    <w:basedOn w:val="Normal"/>
    <w:link w:val="HeaderChar"/>
    <w:uiPriority w:val="99"/>
    <w:unhideWhenUsed/>
    <w:rsid w:val="0018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B6"/>
  </w:style>
  <w:style w:type="paragraph" w:styleId="Footer">
    <w:name w:val="footer"/>
    <w:basedOn w:val="Normal"/>
    <w:link w:val="FooterChar"/>
    <w:uiPriority w:val="99"/>
    <w:unhideWhenUsed/>
    <w:rsid w:val="0018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B6"/>
  </w:style>
  <w:style w:type="character" w:styleId="Hyperlink">
    <w:name w:val="Hyperlink"/>
    <w:basedOn w:val="DefaultParagraphFont"/>
    <w:uiPriority w:val="99"/>
    <w:unhideWhenUsed/>
    <w:rsid w:val="00143614"/>
    <w:rPr>
      <w:color w:val="0563C1" w:themeColor="hyperlink"/>
      <w:u w:val="single"/>
    </w:rPr>
  </w:style>
  <w:style w:type="character" w:styleId="UnresolvedMention">
    <w:name w:val="Unresolved Mention"/>
    <w:basedOn w:val="DefaultParagraphFont"/>
    <w:uiPriority w:val="99"/>
    <w:semiHidden/>
    <w:unhideWhenUsed/>
    <w:rsid w:val="0014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0833">
      <w:bodyDiv w:val="1"/>
      <w:marLeft w:val="0"/>
      <w:marRight w:val="0"/>
      <w:marTop w:val="0"/>
      <w:marBottom w:val="0"/>
      <w:divBdr>
        <w:top w:val="none" w:sz="0" w:space="0" w:color="auto"/>
        <w:left w:val="none" w:sz="0" w:space="0" w:color="auto"/>
        <w:bottom w:val="none" w:sz="0" w:space="0" w:color="auto"/>
        <w:right w:val="none" w:sz="0" w:space="0" w:color="auto"/>
      </w:divBdr>
    </w:div>
    <w:div w:id="675040056">
      <w:bodyDiv w:val="1"/>
      <w:marLeft w:val="0"/>
      <w:marRight w:val="0"/>
      <w:marTop w:val="0"/>
      <w:marBottom w:val="0"/>
      <w:divBdr>
        <w:top w:val="none" w:sz="0" w:space="0" w:color="auto"/>
        <w:left w:val="none" w:sz="0" w:space="0" w:color="auto"/>
        <w:bottom w:val="none" w:sz="0" w:space="0" w:color="auto"/>
        <w:right w:val="none" w:sz="0" w:space="0" w:color="auto"/>
      </w:divBdr>
    </w:div>
    <w:div w:id="1470324068">
      <w:bodyDiv w:val="1"/>
      <w:marLeft w:val="0"/>
      <w:marRight w:val="0"/>
      <w:marTop w:val="0"/>
      <w:marBottom w:val="0"/>
      <w:divBdr>
        <w:top w:val="none" w:sz="0" w:space="0" w:color="auto"/>
        <w:left w:val="none" w:sz="0" w:space="0" w:color="auto"/>
        <w:bottom w:val="none" w:sz="0" w:space="0" w:color="auto"/>
        <w:right w:val="none" w:sz="0" w:space="0" w:color="auto"/>
      </w:divBdr>
    </w:div>
    <w:div w:id="19108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jinder.gill@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Purjinder Gill</dc:creator>
  <cp:keywords/>
  <dc:description/>
  <cp:lastModifiedBy>Purjinder Gill</cp:lastModifiedBy>
  <cp:revision>16</cp:revision>
  <dcterms:created xsi:type="dcterms:W3CDTF">2022-10-12T15:02:00Z</dcterms:created>
  <dcterms:modified xsi:type="dcterms:W3CDTF">2022-11-07T17:35:00Z</dcterms:modified>
</cp:coreProperties>
</file>