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8F" w:rsidRDefault="0083048F" w:rsidP="0083048F">
      <w:pPr>
        <w:spacing w:after="0"/>
        <w:rPr>
          <w:u w:val="single"/>
        </w:rPr>
      </w:pPr>
      <w:r>
        <w:rPr>
          <w:u w:val="single"/>
        </w:rPr>
        <w:t>APPENDIX 4 –</w:t>
      </w:r>
    </w:p>
    <w:p w:rsidR="002F4105" w:rsidRPr="002F4105" w:rsidRDefault="0083048F" w:rsidP="0083048F">
      <w:pPr>
        <w:spacing w:after="0"/>
        <w:rPr>
          <w:u w:val="single"/>
        </w:rPr>
      </w:pPr>
      <w:r>
        <w:rPr>
          <w:u w:val="single"/>
        </w:rPr>
        <w:t>KEEPING CHILDREN SAFE IN EDUCATION - OFFENCES THAT COUNT</w:t>
      </w:r>
    </w:p>
    <w:p w:rsidR="002F4105" w:rsidRDefault="002F4105" w:rsidP="0083048F">
      <w:pPr>
        <w:spacing w:before="240" w:after="0"/>
      </w:pPr>
      <w:r>
        <w:t>Which offences does the ‘Disqualification by Association’ legislation cover?</w:t>
      </w:r>
    </w:p>
    <w:p w:rsidR="002F4105" w:rsidRDefault="002F4105" w:rsidP="0083048F">
      <w:pPr>
        <w:spacing w:before="240" w:after="0"/>
      </w:pPr>
      <w:r>
        <w:t>The recent supplementary guidance given to schools by the Department for Education has stirred some controversy. This legislation which dates from 2009 was previously believed to cover childcare settings outside schools. The DfE (and Ofsted) are clear that this includes schools too. However, which offences are covered by this legislation?</w:t>
      </w:r>
    </w:p>
    <w:p w:rsidR="0083048F" w:rsidRDefault="0083048F" w:rsidP="0083048F">
      <w:pPr>
        <w:spacing w:after="0"/>
        <w:rPr>
          <w:u w:val="single"/>
        </w:rPr>
      </w:pPr>
    </w:p>
    <w:p w:rsidR="002F4105" w:rsidRDefault="002F4105" w:rsidP="0083048F">
      <w:pPr>
        <w:spacing w:after="0"/>
        <w:rPr>
          <w:u w:val="single"/>
        </w:rPr>
      </w:pPr>
      <w:r w:rsidRPr="002F4105">
        <w:rPr>
          <w:u w:val="single"/>
        </w:rPr>
        <w:t>Lists of relevant offences are published in these two documents:</w:t>
      </w:r>
    </w:p>
    <w:p w:rsidR="0083048F" w:rsidRPr="002F4105" w:rsidRDefault="0083048F" w:rsidP="0083048F">
      <w:pPr>
        <w:spacing w:after="0"/>
        <w:rPr>
          <w:u w:val="single"/>
        </w:rPr>
      </w:pPr>
    </w:p>
    <w:p w:rsidR="002F4105" w:rsidRDefault="002F4105" w:rsidP="0083048F">
      <w:pPr>
        <w:pStyle w:val="ListParagraph"/>
        <w:numPr>
          <w:ilvl w:val="0"/>
          <w:numId w:val="1"/>
        </w:numPr>
        <w:spacing w:after="0"/>
      </w:pPr>
      <w:r>
        <w:t>Ofsted: Disqualifications (February 2013)</w:t>
      </w:r>
    </w:p>
    <w:p w:rsidR="002F4105" w:rsidRDefault="002F4105" w:rsidP="0083048F">
      <w:pPr>
        <w:pStyle w:val="ListParagraph"/>
        <w:numPr>
          <w:ilvl w:val="0"/>
          <w:numId w:val="1"/>
        </w:numPr>
        <w:spacing w:after="0"/>
      </w:pPr>
      <w:r>
        <w:t>DBS: Relevant Offences (September 2014)</w:t>
      </w:r>
    </w:p>
    <w:p w:rsidR="0083048F" w:rsidRDefault="0083048F" w:rsidP="0083048F">
      <w:pPr>
        <w:pStyle w:val="ListParagraph"/>
        <w:spacing w:after="0"/>
      </w:pPr>
    </w:p>
    <w:p w:rsidR="002F4105" w:rsidRDefault="002F4105" w:rsidP="0083048F">
      <w:pPr>
        <w:spacing w:after="0"/>
        <w:rPr>
          <w:u w:val="single"/>
        </w:rPr>
      </w:pPr>
      <w:r w:rsidRPr="002F4105">
        <w:rPr>
          <w:u w:val="single"/>
        </w:rPr>
        <w:t>The relevant offences are summarised below (Note that this is a summary, specific offences are detailed in the guidance above.)</w:t>
      </w:r>
    </w:p>
    <w:p w:rsidR="0083048F" w:rsidRPr="002F4105" w:rsidRDefault="0083048F" w:rsidP="0083048F">
      <w:pPr>
        <w:spacing w:after="0"/>
        <w:rPr>
          <w:u w:val="single"/>
        </w:rPr>
      </w:pPr>
    </w:p>
    <w:p w:rsidR="002F4105" w:rsidRDefault="002F4105" w:rsidP="0083048F">
      <w:pPr>
        <w:spacing w:after="0"/>
      </w:pPr>
      <w:r>
        <w:t>Abduction of a child</w:t>
      </w:r>
    </w:p>
    <w:p w:rsidR="002F4105" w:rsidRDefault="002F4105" w:rsidP="0083048F">
      <w:pPr>
        <w:spacing w:after="0"/>
      </w:pPr>
      <w:r>
        <w:t>Abuse of a position of trust</w:t>
      </w:r>
    </w:p>
    <w:p w:rsidR="002F4105" w:rsidRDefault="002F4105" w:rsidP="0083048F">
      <w:pPr>
        <w:spacing w:after="0"/>
      </w:pPr>
      <w:r>
        <w:t>Assault by penetration</w:t>
      </w:r>
    </w:p>
    <w:p w:rsidR="002F4105" w:rsidRDefault="002F4105" w:rsidP="0083048F">
      <w:pPr>
        <w:spacing w:after="0"/>
      </w:pPr>
      <w:r>
        <w:t>Assault occasioning actual bodily harm</w:t>
      </w:r>
    </w:p>
    <w:p w:rsidR="002F4105" w:rsidRDefault="002F4105" w:rsidP="0083048F">
      <w:pPr>
        <w:spacing w:after="0"/>
      </w:pPr>
      <w:r>
        <w:t>Burglary with intent to rape</w:t>
      </w:r>
    </w:p>
    <w:p w:rsidR="002F4105" w:rsidRDefault="002F4105" w:rsidP="0083048F">
      <w:pPr>
        <w:spacing w:after="0"/>
      </w:pPr>
      <w:r>
        <w:t>Causing a person to engage in sexual activity without consent</w:t>
      </w:r>
    </w:p>
    <w:p w:rsidR="002F4105" w:rsidRDefault="002F4105" w:rsidP="0083048F">
      <w:pPr>
        <w:spacing w:after="0"/>
      </w:pPr>
      <w:r>
        <w:t>Causing or allowing the death of a child or vulnerable adult</w:t>
      </w:r>
    </w:p>
    <w:p w:rsidR="002F4105" w:rsidRDefault="002F4105" w:rsidP="0083048F">
      <w:pPr>
        <w:spacing w:after="0"/>
      </w:pPr>
      <w:r>
        <w:t>Certain offences under the Mental Health Act 1983:</w:t>
      </w:r>
    </w:p>
    <w:p w:rsidR="002F4105" w:rsidRDefault="002F4105" w:rsidP="0083048F">
      <w:pPr>
        <w:spacing w:after="0"/>
      </w:pPr>
      <w:r>
        <w:t>Forgery and making false statements</w:t>
      </w:r>
    </w:p>
    <w:p w:rsidR="002F4105" w:rsidRDefault="002F4105" w:rsidP="0083048F">
      <w:pPr>
        <w:spacing w:after="0"/>
      </w:pPr>
      <w:proofErr w:type="gramStart"/>
      <w:r>
        <w:t>Ill treatment of patients.</w:t>
      </w:r>
      <w:proofErr w:type="gramEnd"/>
    </w:p>
    <w:p w:rsidR="002F4105" w:rsidRDefault="002F4105" w:rsidP="0083048F">
      <w:pPr>
        <w:spacing w:after="0"/>
      </w:pPr>
      <w:r>
        <w:t xml:space="preserve">Assisting patients to absent themselves without leave </w:t>
      </w:r>
      <w:proofErr w:type="spellStart"/>
      <w:r>
        <w:t>etc</w:t>
      </w:r>
      <w:proofErr w:type="spellEnd"/>
    </w:p>
    <w:p w:rsidR="002F4105" w:rsidRDefault="002F4105" w:rsidP="0083048F">
      <w:pPr>
        <w:spacing w:after="0"/>
      </w:pPr>
      <w:r>
        <w:t>Obstruction</w:t>
      </w:r>
    </w:p>
    <w:p w:rsidR="002F4105" w:rsidRDefault="002F4105" w:rsidP="0083048F">
      <w:pPr>
        <w:spacing w:after="0"/>
      </w:pPr>
      <w:r>
        <w:t>Cruelty to children</w:t>
      </w:r>
    </w:p>
    <w:p w:rsidR="002F4105" w:rsidRDefault="002F4105" w:rsidP="0083048F">
      <w:pPr>
        <w:spacing w:after="0"/>
      </w:pPr>
      <w:r>
        <w:t>Exposure</w:t>
      </w:r>
    </w:p>
    <w:p w:rsidR="002F4105" w:rsidRDefault="002F4105" w:rsidP="0083048F">
      <w:pPr>
        <w:spacing w:after="0"/>
      </w:pPr>
      <w:r>
        <w:t>False imprisonment</w:t>
      </w:r>
    </w:p>
    <w:p w:rsidR="002F4105" w:rsidRDefault="002F4105" w:rsidP="0083048F">
      <w:pPr>
        <w:spacing w:after="0"/>
      </w:pPr>
      <w:r>
        <w:t>Incest</w:t>
      </w:r>
    </w:p>
    <w:p w:rsidR="002F4105" w:rsidRDefault="002F4105" w:rsidP="0083048F">
      <w:pPr>
        <w:spacing w:after="0"/>
      </w:pPr>
      <w:r>
        <w:t>Intercourse with an animal</w:t>
      </w:r>
    </w:p>
    <w:p w:rsidR="002F4105" w:rsidRDefault="002F4105" w:rsidP="0083048F">
      <w:pPr>
        <w:spacing w:after="0"/>
      </w:pPr>
      <w:r>
        <w:t>Kidnapping</w:t>
      </w:r>
    </w:p>
    <w:p w:rsidR="002F4105" w:rsidRDefault="002F4105" w:rsidP="0083048F">
      <w:pPr>
        <w:spacing w:after="0"/>
      </w:pPr>
      <w:r>
        <w:t>Making threats to kill a child</w:t>
      </w:r>
    </w:p>
    <w:p w:rsidR="002F4105" w:rsidRDefault="002F4105" w:rsidP="0083048F">
      <w:pPr>
        <w:spacing w:after="0"/>
      </w:pPr>
      <w:r>
        <w:t>Manslaughter</w:t>
      </w:r>
    </w:p>
    <w:p w:rsidR="002F4105" w:rsidRDefault="002F4105" w:rsidP="0083048F">
      <w:pPr>
        <w:spacing w:after="0"/>
      </w:pPr>
      <w:r>
        <w:t>Meeting a child after grooming</w:t>
      </w:r>
    </w:p>
    <w:p w:rsidR="002F4105" w:rsidRDefault="002F4105" w:rsidP="0083048F">
      <w:pPr>
        <w:spacing w:after="0"/>
      </w:pPr>
      <w:r>
        <w:t>Murder</w:t>
      </w:r>
    </w:p>
    <w:p w:rsidR="002F4105" w:rsidRDefault="002F4105" w:rsidP="0083048F">
      <w:pPr>
        <w:spacing w:after="0"/>
      </w:pPr>
      <w:r>
        <w:t>Murder of an infant</w:t>
      </w:r>
    </w:p>
    <w:p w:rsidR="002F4105" w:rsidRDefault="002F4105" w:rsidP="0083048F">
      <w:pPr>
        <w:spacing w:after="0"/>
      </w:pPr>
      <w:r>
        <w:t>Offences related to female genital mutilation</w:t>
      </w:r>
    </w:p>
    <w:p w:rsidR="002F4105" w:rsidRDefault="002F4105" w:rsidP="0083048F">
      <w:pPr>
        <w:spacing w:after="0"/>
      </w:pPr>
      <w:r>
        <w:t>Offences related to prostitution</w:t>
      </w:r>
    </w:p>
    <w:p w:rsidR="002F4105" w:rsidRDefault="002F4105" w:rsidP="0083048F">
      <w:pPr>
        <w:spacing w:after="0"/>
      </w:pPr>
      <w:r>
        <w:t>Offences related to the supply of Class A drugs to a child</w:t>
      </w:r>
    </w:p>
    <w:p w:rsidR="002F4105" w:rsidRDefault="002F4105" w:rsidP="0083048F">
      <w:pPr>
        <w:spacing w:after="0"/>
      </w:pPr>
      <w:r>
        <w:t>People trafficking</w:t>
      </w:r>
    </w:p>
    <w:p w:rsidR="002F4105" w:rsidRDefault="002F4105" w:rsidP="0083048F">
      <w:pPr>
        <w:spacing w:after="0"/>
      </w:pPr>
      <w:r>
        <w:lastRenderedPageBreak/>
        <w:t>Possession of extreme pornographic images</w:t>
      </w:r>
    </w:p>
    <w:p w:rsidR="002F4105" w:rsidRDefault="002F4105" w:rsidP="0083048F">
      <w:pPr>
        <w:spacing w:after="0"/>
      </w:pPr>
      <w:r>
        <w:t>Possession of indecent images of children</w:t>
      </w:r>
    </w:p>
    <w:p w:rsidR="002F4105" w:rsidRDefault="002F4105" w:rsidP="0083048F">
      <w:pPr>
        <w:spacing w:after="0"/>
      </w:pPr>
      <w:r>
        <w:t>Rape</w:t>
      </w:r>
    </w:p>
    <w:p w:rsidR="002F4105" w:rsidRDefault="002F4105" w:rsidP="0083048F">
      <w:pPr>
        <w:spacing w:after="0"/>
      </w:pPr>
      <w:r>
        <w:t>Sexual assault</w:t>
      </w:r>
    </w:p>
    <w:p w:rsidR="002F4105" w:rsidRDefault="002F4105" w:rsidP="0083048F">
      <w:pPr>
        <w:spacing w:after="0"/>
      </w:pPr>
      <w:r>
        <w:t>Sexual offences against a person with a mental disorder</w:t>
      </w:r>
    </w:p>
    <w:p w:rsidR="002F4105" w:rsidRDefault="002F4105" w:rsidP="0083048F">
      <w:pPr>
        <w:spacing w:after="0"/>
      </w:pPr>
      <w:r>
        <w:t>Sexual offences against children</w:t>
      </w:r>
    </w:p>
    <w:p w:rsidR="002F4105" w:rsidRDefault="002F4105" w:rsidP="0083048F">
      <w:pPr>
        <w:spacing w:after="0"/>
      </w:pPr>
      <w:r>
        <w:t>Sexual offences against children outside the UK</w:t>
      </w:r>
    </w:p>
    <w:p w:rsidR="002F4105" w:rsidRDefault="002F4105" w:rsidP="0083048F">
      <w:pPr>
        <w:spacing w:after="0"/>
      </w:pPr>
      <w:r>
        <w:t>Sexual penetration of a corpse</w:t>
      </w:r>
    </w:p>
    <w:p w:rsidR="002F4105" w:rsidRDefault="002F4105" w:rsidP="0083048F">
      <w:pPr>
        <w:spacing w:after="0"/>
      </w:pPr>
      <w:r>
        <w:t>Supply of a controlled drug to another</w:t>
      </w:r>
    </w:p>
    <w:p w:rsidR="002F4105" w:rsidRDefault="002F4105" w:rsidP="0083048F">
      <w:pPr>
        <w:spacing w:after="0"/>
      </w:pPr>
      <w:r>
        <w:t>Voyeurism</w:t>
      </w:r>
    </w:p>
    <w:p w:rsidR="002F4105" w:rsidRDefault="002F4105" w:rsidP="0083048F">
      <w:pPr>
        <w:spacing w:after="0"/>
      </w:pPr>
      <w:r>
        <w:t>Wounding and causing grievous bodily harm</w:t>
      </w:r>
    </w:p>
    <w:p w:rsidR="0083048F" w:rsidRDefault="0083048F" w:rsidP="0083048F">
      <w:pPr>
        <w:spacing w:after="0"/>
      </w:pPr>
    </w:p>
    <w:p w:rsidR="002F4105" w:rsidRDefault="002F4105" w:rsidP="0083048F">
      <w:pPr>
        <w:spacing w:after="0"/>
      </w:pPr>
      <w:r>
        <w:t>These offences would result in the offender being banned from working in regulated activity with children and young people. Staff in schools who work with under-8s are ‘disqualified by association’ if they ‘live or work in the same household’ as someone who has committed any of the offences above, even if they would not otherwise be disqualified themselves.</w:t>
      </w:r>
    </w:p>
    <w:p w:rsidR="0083048F" w:rsidRDefault="0083048F" w:rsidP="0083048F">
      <w:pPr>
        <w:spacing w:after="0"/>
      </w:pPr>
      <w:bookmarkStart w:id="0" w:name="_GoBack"/>
      <w:bookmarkEnd w:id="0"/>
    </w:p>
    <w:p w:rsidR="002F4105" w:rsidRPr="002F4105" w:rsidRDefault="002F4105" w:rsidP="0083048F">
      <w:pPr>
        <w:spacing w:after="0"/>
        <w:rPr>
          <w:u w:val="single"/>
        </w:rPr>
      </w:pPr>
      <w:r w:rsidRPr="002F4105">
        <w:rPr>
          <w:u w:val="single"/>
        </w:rPr>
        <w:t>Information for Head teachers</w:t>
      </w:r>
    </w:p>
    <w:p w:rsidR="00A85034" w:rsidRDefault="002F4105" w:rsidP="0083048F">
      <w:pPr>
        <w:spacing w:after="0"/>
      </w:pPr>
      <w:r>
        <w:t>When a member of staff tells you that someone they live with has been convicted of an offence listed above you should immediately seek advice from your HR provider or legal team.</w:t>
      </w:r>
    </w:p>
    <w:p w:rsidR="00A85034" w:rsidRDefault="00A85034" w:rsidP="0083048F">
      <w:pPr>
        <w:spacing w:after="0"/>
      </w:pPr>
    </w:p>
    <w:p w:rsidR="009B5EAD" w:rsidRPr="00A85034" w:rsidRDefault="0083048F" w:rsidP="0083048F">
      <w:pPr>
        <w:spacing w:after="0"/>
      </w:pPr>
      <w:hyperlink r:id="rId6" w:history="1">
        <w:r w:rsidR="00A85034">
          <w:rPr>
            <w:rStyle w:val="Hyperlink"/>
          </w:rPr>
          <w:t>http://www.safeguardinginschools.co.uk/disqualification-association-offences-count/</w:t>
        </w:r>
      </w:hyperlink>
    </w:p>
    <w:sectPr w:rsidR="009B5EAD" w:rsidRPr="00A85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E02"/>
    <w:multiLevelType w:val="hybridMultilevel"/>
    <w:tmpl w:val="147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E6FAD"/>
    <w:multiLevelType w:val="hybridMultilevel"/>
    <w:tmpl w:val="3EB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05"/>
    <w:rsid w:val="001B4F01"/>
    <w:rsid w:val="002F4105"/>
    <w:rsid w:val="0083048F"/>
    <w:rsid w:val="00A85034"/>
    <w:rsid w:val="00B55E50"/>
    <w:rsid w:val="00F4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05"/>
    <w:pPr>
      <w:ind w:left="720"/>
      <w:contextualSpacing/>
    </w:pPr>
  </w:style>
  <w:style w:type="character" w:styleId="Hyperlink">
    <w:name w:val="Hyperlink"/>
    <w:basedOn w:val="DefaultParagraphFont"/>
    <w:uiPriority w:val="99"/>
    <w:semiHidden/>
    <w:unhideWhenUsed/>
    <w:rsid w:val="00A85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05"/>
    <w:pPr>
      <w:ind w:left="720"/>
      <w:contextualSpacing/>
    </w:pPr>
  </w:style>
  <w:style w:type="character" w:styleId="Hyperlink">
    <w:name w:val="Hyperlink"/>
    <w:basedOn w:val="DefaultParagraphFont"/>
    <w:uiPriority w:val="99"/>
    <w:semiHidden/>
    <w:unhideWhenUsed/>
    <w:rsid w:val="00A85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guardinginschools.co.uk/disqualification-association-offences-cou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Amy</dc:creator>
  <cp:lastModifiedBy>Farmery (HR), Susan</cp:lastModifiedBy>
  <cp:revision>3</cp:revision>
  <cp:lastPrinted>2015-01-21T11:27:00Z</cp:lastPrinted>
  <dcterms:created xsi:type="dcterms:W3CDTF">2015-01-28T09:48:00Z</dcterms:created>
  <dcterms:modified xsi:type="dcterms:W3CDTF">2015-03-23T11:29:00Z</dcterms:modified>
</cp:coreProperties>
</file>